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211B8" w:rsidR="00DB38D1" w:rsidP="00745F70" w:rsidRDefault="00DB38D1" w14:paraId="1624C714" w14:textId="77777777">
      <w:pPr>
        <w:jc w:val="both"/>
        <w:rPr>
          <w:rFonts w:ascii="Arial" w:hAnsi="Arial" w:cs="Arial"/>
          <w:sz w:val="22"/>
          <w:szCs w:val="22"/>
        </w:rPr>
        <w:sectPr w:rsidRPr="007211B8" w:rsidR="00DB38D1">
          <w:headerReference w:type="default" r:id="rId11"/>
          <w:footerReference w:type="even" r:id="rId12"/>
          <w:footerReference w:type="default" r:id="rId13"/>
          <w:headerReference w:type="first" r:id="rId14"/>
          <w:type w:val="continuous"/>
          <w:pgSz w:w="12240" w:h="15840" w:code="1"/>
          <w:pgMar w:top="720" w:right="1440" w:bottom="1440" w:left="1440" w:header="720" w:footer="720" w:gutter="0"/>
          <w:cols w:space="720"/>
          <w:titlePg/>
          <w:docGrid w:linePitch="360"/>
        </w:sectPr>
      </w:pPr>
    </w:p>
    <w:p w:rsidRPr="00CE6D95" w:rsidR="00DB38D1" w:rsidP="00CE6D95" w:rsidRDefault="00DB38D1" w14:paraId="1BF5F893" w14:textId="77777777">
      <w:pPr>
        <w:tabs>
          <w:tab w:val="left" w:pos="1905"/>
        </w:tabs>
        <w:rPr>
          <w:rFonts w:ascii="Arial" w:hAnsi="Arial" w:cs="Arial"/>
          <w:sz w:val="22"/>
          <w:szCs w:val="22"/>
        </w:rPr>
        <w:sectPr w:rsidRPr="00CE6D95" w:rsidR="00DB38D1">
          <w:headerReference w:type="default" r:id="rId15"/>
          <w:footerReference w:type="even" r:id="rId16"/>
          <w:footerReference w:type="default" r:id="rId17"/>
          <w:headerReference w:type="first" r:id="rId18"/>
          <w:type w:val="continuous"/>
          <w:pgSz w:w="12240" w:h="15840" w:code="1"/>
          <w:pgMar w:top="720" w:right="1440" w:bottom="1440" w:left="1440" w:header="720" w:footer="720" w:gutter="0"/>
          <w:cols w:space="720"/>
          <w:docGrid w:linePitch="360"/>
        </w:sectPr>
      </w:pPr>
      <w:bookmarkStart w:name="BM1" w:id="0"/>
      <w:bookmarkStart w:name="BM2" w:id="1"/>
      <w:bookmarkStart w:name="BM3" w:id="2"/>
      <w:bookmarkStart w:name="BM4" w:id="3"/>
      <w:bookmarkEnd w:id="0"/>
      <w:bookmarkEnd w:id="1"/>
      <w:bookmarkEnd w:id="2"/>
      <w:bookmarkEnd w:id="3"/>
    </w:p>
    <w:p w:rsidRPr="007211B8" w:rsidR="00DB38D1" w:rsidP="002147A5" w:rsidRDefault="1BEEE9CA" w14:paraId="34158299" w14:textId="09D9117F">
      <w:pPr>
        <w:ind w:left="1440" w:hanging="1440"/>
        <w:jc w:val="both"/>
        <w:rPr>
          <w:rFonts w:ascii="Arial" w:hAnsi="Arial" w:cs="Arial"/>
          <w:sz w:val="22"/>
          <w:szCs w:val="22"/>
        </w:rPr>
      </w:pPr>
      <w:r w:rsidRPr="1BEEE9CA">
        <w:rPr>
          <w:rFonts w:ascii="Arial" w:hAnsi="Arial" w:cs="Arial"/>
          <w:b/>
          <w:bCs/>
          <w:sz w:val="22"/>
          <w:szCs w:val="22"/>
        </w:rPr>
        <w:t>DATE:</w:t>
      </w:r>
      <w:r w:rsidR="00DB38D1">
        <w:tab/>
      </w:r>
      <w:r w:rsidRPr="1BEEE9CA">
        <w:rPr>
          <w:rFonts w:ascii="Arial" w:hAnsi="Arial" w:cs="Arial"/>
          <w:sz w:val="22"/>
          <w:szCs w:val="22"/>
          <w:highlight w:val="lightGray"/>
        </w:rPr>
        <w:t>June 21, 2022</w:t>
      </w:r>
    </w:p>
    <w:p w:rsidRPr="007211B8" w:rsidR="00DB38D1" w:rsidP="00900020" w:rsidRDefault="00900020" w14:paraId="38400252" w14:textId="45EC8ECA">
      <w:pPr>
        <w:tabs>
          <w:tab w:val="left" w:pos="8150"/>
        </w:tabs>
        <w:ind w:left="1440" w:hanging="1440"/>
        <w:jc w:val="both"/>
        <w:rPr>
          <w:rFonts w:ascii="Arial" w:hAnsi="Arial" w:cs="Arial"/>
          <w:sz w:val="22"/>
          <w:szCs w:val="22"/>
        </w:rPr>
      </w:pPr>
      <w:r>
        <w:rPr>
          <w:rFonts w:ascii="Arial" w:hAnsi="Arial" w:cs="Arial"/>
          <w:sz w:val="22"/>
          <w:szCs w:val="22"/>
        </w:rPr>
        <w:tab/>
      </w:r>
      <w:r>
        <w:rPr>
          <w:rFonts w:ascii="Arial" w:hAnsi="Arial" w:cs="Arial"/>
          <w:sz w:val="22"/>
          <w:szCs w:val="22"/>
        </w:rPr>
        <w:tab/>
      </w:r>
    </w:p>
    <w:p w:rsidRPr="007211B8" w:rsidR="00DB38D1" w:rsidP="002147A5" w:rsidRDefault="00DB38D1" w14:paraId="0AA5DC5C" w14:textId="77777777">
      <w:pPr>
        <w:ind w:left="1440" w:hanging="1440"/>
        <w:jc w:val="both"/>
        <w:rPr>
          <w:rFonts w:ascii="Arial" w:hAnsi="Arial" w:cs="Arial"/>
          <w:sz w:val="22"/>
          <w:szCs w:val="22"/>
        </w:rPr>
      </w:pPr>
      <w:r w:rsidRPr="007211B8">
        <w:rPr>
          <w:rFonts w:ascii="Arial" w:hAnsi="Arial" w:cs="Arial"/>
          <w:b/>
          <w:bCs/>
          <w:sz w:val="22"/>
          <w:szCs w:val="22"/>
        </w:rPr>
        <w:t>TO:</w:t>
      </w:r>
      <w:r w:rsidRPr="007211B8">
        <w:rPr>
          <w:rFonts w:ascii="Arial" w:hAnsi="Arial" w:cs="Arial"/>
          <w:sz w:val="22"/>
          <w:szCs w:val="22"/>
        </w:rPr>
        <w:tab/>
      </w:r>
      <w:r w:rsidRPr="007211B8">
        <w:rPr>
          <w:rFonts w:ascii="Arial" w:hAnsi="Arial" w:cs="Arial"/>
          <w:sz w:val="22"/>
          <w:szCs w:val="22"/>
        </w:rPr>
        <w:t>Honorable Mayor and Members of the City Council</w:t>
      </w:r>
    </w:p>
    <w:p w:rsidRPr="007211B8" w:rsidR="00DB38D1" w:rsidP="0065673B" w:rsidRDefault="002A5937" w14:paraId="18035D5D" w14:textId="77777777">
      <w:pPr>
        <w:tabs>
          <w:tab w:val="left" w:pos="3345"/>
        </w:tabs>
        <w:jc w:val="both"/>
        <w:rPr>
          <w:rFonts w:ascii="Arial" w:hAnsi="Arial" w:cs="Arial"/>
          <w:sz w:val="22"/>
          <w:szCs w:val="22"/>
        </w:rPr>
      </w:pPr>
      <w:r>
        <w:rPr>
          <w:rFonts w:ascii="Arial" w:hAnsi="Arial" w:cs="Arial"/>
          <w:sz w:val="22"/>
          <w:szCs w:val="22"/>
        </w:rPr>
        <w:tab/>
      </w:r>
    </w:p>
    <w:p w:rsidRPr="00A85E61" w:rsidR="00DB38D1" w:rsidP="002147A5" w:rsidRDefault="00DB38D1" w14:paraId="54216524" w14:textId="7A2F0D7E">
      <w:pPr>
        <w:ind w:left="1440" w:hanging="1440"/>
        <w:jc w:val="both"/>
        <w:rPr>
          <w:rFonts w:ascii="Arial" w:hAnsi="Arial" w:cs="Arial"/>
          <w:sz w:val="22"/>
          <w:szCs w:val="22"/>
          <w:highlight w:val="lightGray"/>
        </w:rPr>
      </w:pPr>
      <w:r w:rsidRPr="007211B8">
        <w:rPr>
          <w:rFonts w:ascii="Arial" w:hAnsi="Arial" w:cs="Arial"/>
          <w:b/>
          <w:bCs/>
          <w:sz w:val="22"/>
          <w:szCs w:val="22"/>
        </w:rPr>
        <w:t>FROM:</w:t>
      </w:r>
      <w:r w:rsidRPr="007211B8">
        <w:rPr>
          <w:rFonts w:ascii="Arial" w:hAnsi="Arial" w:cs="Arial"/>
          <w:sz w:val="22"/>
          <w:szCs w:val="22"/>
        </w:rPr>
        <w:tab/>
      </w:r>
      <w:r w:rsidR="00A85E61">
        <w:rPr>
          <w:rFonts w:ascii="Arial" w:hAnsi="Arial" w:cs="Arial"/>
          <w:sz w:val="22"/>
          <w:szCs w:val="22"/>
          <w:highlight w:val="lightGray"/>
        </w:rPr>
        <w:t>XX</w:t>
      </w:r>
      <w:r w:rsidRPr="00A85E61">
        <w:rPr>
          <w:rFonts w:ascii="Arial" w:hAnsi="Arial" w:cs="Arial"/>
          <w:sz w:val="22"/>
          <w:szCs w:val="22"/>
          <w:highlight w:val="lightGray"/>
        </w:rPr>
        <w:t xml:space="preserve">, Community </w:t>
      </w:r>
      <w:r w:rsidRPr="00A85E61" w:rsidR="00594DB9">
        <w:rPr>
          <w:rFonts w:ascii="Arial" w:hAnsi="Arial" w:cs="Arial"/>
          <w:sz w:val="22"/>
          <w:szCs w:val="22"/>
          <w:highlight w:val="lightGray"/>
        </w:rPr>
        <w:t>and Economic Development</w:t>
      </w:r>
      <w:r w:rsidRPr="00A85E61">
        <w:rPr>
          <w:rFonts w:ascii="Arial" w:hAnsi="Arial" w:cs="Arial"/>
          <w:sz w:val="22"/>
          <w:szCs w:val="22"/>
          <w:highlight w:val="lightGray"/>
        </w:rPr>
        <w:t xml:space="preserve"> Director</w:t>
      </w:r>
      <w:r w:rsidRPr="00A85E61" w:rsidR="00CE48C7">
        <w:rPr>
          <w:rFonts w:ascii="Arial" w:hAnsi="Arial" w:cs="Arial"/>
          <w:sz w:val="22"/>
          <w:szCs w:val="22"/>
          <w:highlight w:val="lightGray"/>
        </w:rPr>
        <w:t xml:space="preserve"> and</w:t>
      </w:r>
    </w:p>
    <w:p w:rsidRPr="007211B8" w:rsidR="00385E70" w:rsidP="002147A5" w:rsidRDefault="00385E70" w14:paraId="2032044D" w14:textId="3460A39E">
      <w:pPr>
        <w:ind w:left="1440" w:hanging="1440"/>
        <w:jc w:val="both"/>
        <w:rPr>
          <w:rFonts w:ascii="Arial" w:hAnsi="Arial" w:cs="Arial"/>
          <w:sz w:val="22"/>
          <w:szCs w:val="22"/>
        </w:rPr>
      </w:pPr>
      <w:r w:rsidRPr="00A85E61">
        <w:rPr>
          <w:rFonts w:ascii="Arial" w:hAnsi="Arial" w:cs="Arial"/>
          <w:b/>
          <w:bCs/>
          <w:sz w:val="22"/>
          <w:szCs w:val="22"/>
          <w:highlight w:val="lightGray"/>
        </w:rPr>
        <w:tab/>
      </w:r>
      <w:r w:rsidR="00A85E61">
        <w:rPr>
          <w:rFonts w:ascii="Arial" w:hAnsi="Arial" w:cs="Arial"/>
          <w:bCs/>
          <w:sz w:val="22"/>
          <w:szCs w:val="22"/>
          <w:highlight w:val="lightGray"/>
        </w:rPr>
        <w:t>XX</w:t>
      </w:r>
      <w:r w:rsidRPr="00A85E61" w:rsidR="00243354">
        <w:rPr>
          <w:rFonts w:ascii="Arial" w:hAnsi="Arial" w:cs="Arial"/>
          <w:bCs/>
          <w:sz w:val="22"/>
          <w:szCs w:val="22"/>
          <w:highlight w:val="lightGray"/>
        </w:rPr>
        <w:t>,</w:t>
      </w:r>
      <w:r w:rsidRPr="00A85E61" w:rsidR="00594DB9">
        <w:rPr>
          <w:rFonts w:ascii="Arial" w:hAnsi="Arial" w:cs="Arial"/>
          <w:bCs/>
          <w:sz w:val="22"/>
          <w:szCs w:val="22"/>
          <w:highlight w:val="lightGray"/>
        </w:rPr>
        <w:t xml:space="preserve"> </w:t>
      </w:r>
      <w:r w:rsidRPr="00A85E61" w:rsidR="00A85E61">
        <w:rPr>
          <w:rFonts w:ascii="Arial" w:hAnsi="Arial" w:cs="Arial"/>
          <w:bCs/>
          <w:sz w:val="22"/>
          <w:szCs w:val="22"/>
          <w:highlight w:val="lightGray"/>
        </w:rPr>
        <w:t>Chief Building Official</w:t>
      </w:r>
      <w:r w:rsidRPr="007211B8" w:rsidR="00C32731">
        <w:rPr>
          <w:rFonts w:ascii="Arial" w:hAnsi="Arial" w:cs="Arial"/>
          <w:bCs/>
          <w:sz w:val="22"/>
          <w:szCs w:val="22"/>
        </w:rPr>
        <w:t xml:space="preserve"> </w:t>
      </w:r>
    </w:p>
    <w:p w:rsidRPr="007211B8" w:rsidR="00D3794D" w:rsidP="002147A5" w:rsidRDefault="00D3794D" w14:paraId="39DBB8DE" w14:textId="77777777">
      <w:pPr>
        <w:jc w:val="both"/>
        <w:rPr>
          <w:rFonts w:ascii="Arial" w:hAnsi="Arial" w:cs="Arial"/>
          <w:sz w:val="22"/>
          <w:szCs w:val="22"/>
        </w:rPr>
      </w:pPr>
    </w:p>
    <w:p w:rsidRPr="0022269D" w:rsidR="008E3950" w:rsidP="008E3950" w:rsidRDefault="103354F8" w14:paraId="60CC6547" w14:textId="6AA58DFE">
      <w:pPr>
        <w:autoSpaceDE w:val="0"/>
        <w:autoSpaceDN w:val="0"/>
        <w:adjustRightInd w:val="0"/>
        <w:rPr>
          <w:rFonts w:ascii="Arial" w:hAnsi="Arial" w:cs="Arial"/>
          <w:sz w:val="22"/>
          <w:szCs w:val="22"/>
        </w:rPr>
      </w:pPr>
      <w:r w:rsidRPr="103354F8">
        <w:rPr>
          <w:rFonts w:ascii="Arial" w:hAnsi="Arial" w:cs="Arial"/>
          <w:b/>
          <w:bCs/>
          <w:sz w:val="22"/>
          <w:szCs w:val="22"/>
        </w:rPr>
        <w:t>SUBJECT:</w:t>
      </w:r>
      <w:r w:rsidR="00DB38D1">
        <w:tab/>
      </w:r>
      <w:r w:rsidRPr="103354F8">
        <w:rPr>
          <w:rFonts w:ascii="Arial" w:hAnsi="Arial" w:cs="Arial"/>
          <w:sz w:val="22"/>
          <w:szCs w:val="22"/>
        </w:rPr>
        <w:t>Reach Codes – Proposed Electrification Reach Codes for 2022 Green Building Standards Code</w:t>
      </w:r>
    </w:p>
    <w:p w:rsidRPr="007211B8" w:rsidR="00DB38D1" w:rsidP="002147A5" w:rsidRDefault="00DB38D1" w14:paraId="403A1BC5" w14:textId="77777777">
      <w:pPr>
        <w:ind w:left="1440" w:hanging="1440"/>
        <w:jc w:val="both"/>
        <w:rPr>
          <w:rFonts w:ascii="Arial" w:hAnsi="Arial" w:cs="Arial"/>
          <w:sz w:val="22"/>
          <w:szCs w:val="22"/>
        </w:rPr>
      </w:pPr>
    </w:p>
    <w:p w:rsidRPr="00B21A53" w:rsidR="008E3950" w:rsidP="008E3950" w:rsidRDefault="008E3950" w14:paraId="1C10B5A8" w14:textId="77777777">
      <w:pPr>
        <w:autoSpaceDE w:val="0"/>
        <w:autoSpaceDN w:val="0"/>
        <w:adjustRightInd w:val="0"/>
        <w:rPr>
          <w:rFonts w:ascii="Arial" w:hAnsi="Arial" w:cs="Arial"/>
          <w:sz w:val="20"/>
          <w:szCs w:val="20"/>
        </w:rPr>
      </w:pPr>
    </w:p>
    <w:p w:rsidRPr="008E3950" w:rsidR="008E3950" w:rsidP="008E3950" w:rsidRDefault="008E3950" w14:paraId="4815A507" w14:textId="77777777">
      <w:pPr>
        <w:autoSpaceDE w:val="0"/>
        <w:autoSpaceDN w:val="0"/>
        <w:adjustRightInd w:val="0"/>
        <w:rPr>
          <w:rFonts w:ascii="Arial" w:hAnsi="Arial" w:cs="Arial"/>
          <w:b/>
          <w:bCs/>
          <w:sz w:val="22"/>
          <w:szCs w:val="22"/>
        </w:rPr>
      </w:pPr>
      <w:r w:rsidRPr="008E3950">
        <w:rPr>
          <w:rFonts w:ascii="Arial" w:hAnsi="Arial" w:cs="Arial"/>
          <w:b/>
          <w:bCs/>
          <w:sz w:val="22"/>
          <w:szCs w:val="22"/>
        </w:rPr>
        <w:t>RECOMMENDATION</w:t>
      </w:r>
    </w:p>
    <w:p w:rsidRPr="008E3950" w:rsidR="008E3950" w:rsidP="008E3950" w:rsidRDefault="1BEEE9CA" w14:paraId="0168E3D3" w14:textId="738F6595">
      <w:pPr>
        <w:autoSpaceDE w:val="0"/>
        <w:autoSpaceDN w:val="0"/>
        <w:adjustRightInd w:val="0"/>
        <w:rPr>
          <w:rFonts w:ascii="Arial" w:hAnsi="Arial" w:cs="Arial"/>
          <w:sz w:val="22"/>
          <w:szCs w:val="22"/>
        </w:rPr>
      </w:pPr>
      <w:r w:rsidRPr="1BEEE9CA">
        <w:rPr>
          <w:rFonts w:ascii="Arial" w:hAnsi="Arial" w:cs="Arial"/>
          <w:sz w:val="22"/>
          <w:szCs w:val="22"/>
        </w:rPr>
        <w:t xml:space="preserve">Staff recommends the City Council </w:t>
      </w:r>
      <w:r w:rsidRPr="1BEEE9CA">
        <w:rPr>
          <w:rFonts w:ascii="Arial" w:hAnsi="Arial" w:cs="Arial"/>
          <w:sz w:val="22"/>
          <w:szCs w:val="22"/>
          <w:highlight w:val="lightGray"/>
        </w:rPr>
        <w:t>consider the options of electrification reach codes as written,</w:t>
      </w:r>
      <w:r w:rsidRPr="1BEEE9CA">
        <w:rPr>
          <w:rFonts w:ascii="Arial" w:hAnsi="Arial" w:cs="Arial"/>
          <w:sz w:val="22"/>
          <w:szCs w:val="22"/>
        </w:rPr>
        <w:t xml:space="preserve"> to be established on </w:t>
      </w:r>
      <w:r w:rsidRPr="1BEEE9CA">
        <w:rPr>
          <w:rFonts w:ascii="Arial" w:hAnsi="Arial" w:cs="Arial"/>
          <w:sz w:val="22"/>
          <w:szCs w:val="22"/>
          <w:highlight w:val="lightGray"/>
        </w:rPr>
        <w:t>January 1, 2023</w:t>
      </w:r>
      <w:r w:rsidRPr="1BEEE9CA">
        <w:rPr>
          <w:rFonts w:ascii="Arial" w:hAnsi="Arial" w:cs="Arial"/>
          <w:sz w:val="22"/>
          <w:szCs w:val="22"/>
        </w:rPr>
        <w:t>; to help reduce carbon emissions associated with new construction, reduce costs in new construction, improve indoor air quality and safety of our building stock, support affordable housing, and increase adoption of electric vehicles.</w:t>
      </w:r>
    </w:p>
    <w:p w:rsidRPr="008E3950" w:rsidR="008E3950" w:rsidP="008E3950" w:rsidRDefault="008E3950" w14:paraId="2FF8C6CE" w14:textId="77777777">
      <w:pPr>
        <w:autoSpaceDE w:val="0"/>
        <w:autoSpaceDN w:val="0"/>
        <w:adjustRightInd w:val="0"/>
        <w:rPr>
          <w:rFonts w:ascii="Arial" w:hAnsi="Arial" w:cs="Arial"/>
          <w:sz w:val="22"/>
          <w:szCs w:val="22"/>
        </w:rPr>
      </w:pPr>
    </w:p>
    <w:p w:rsidRPr="008E3950" w:rsidR="008E3950" w:rsidP="008E3950" w:rsidRDefault="103354F8" w14:paraId="75EFACAB" w14:textId="77777777">
      <w:pPr>
        <w:autoSpaceDE w:val="0"/>
        <w:autoSpaceDN w:val="0"/>
        <w:adjustRightInd w:val="0"/>
        <w:rPr>
          <w:rFonts w:ascii="Arial" w:hAnsi="Arial" w:cs="Arial"/>
          <w:b/>
          <w:bCs/>
          <w:sz w:val="22"/>
          <w:szCs w:val="22"/>
        </w:rPr>
      </w:pPr>
      <w:bookmarkStart w:name="_Hlk8815886" w:id="4"/>
      <w:r w:rsidRPr="103354F8">
        <w:rPr>
          <w:rFonts w:ascii="Arial" w:hAnsi="Arial" w:cs="Arial"/>
          <w:b/>
          <w:bCs/>
          <w:sz w:val="22"/>
          <w:szCs w:val="22"/>
        </w:rPr>
        <w:t>BACKGROUND</w:t>
      </w:r>
    </w:p>
    <w:p w:rsidRPr="008E3950" w:rsidR="008E3950" w:rsidP="185DBA32" w:rsidRDefault="1BEEE9CA" w14:paraId="10D97726" w14:textId="05F28414">
      <w:pPr>
        <w:autoSpaceDE w:val="0"/>
        <w:autoSpaceDN w:val="0"/>
        <w:adjustRightInd w:val="0"/>
        <w:rPr>
          <w:rFonts w:ascii="Arial" w:hAnsi="Arial" w:cs="Arial"/>
          <w:sz w:val="22"/>
          <w:szCs w:val="22"/>
        </w:rPr>
      </w:pPr>
      <w:r w:rsidRPr="714D9301">
        <w:rPr>
          <w:rFonts w:ascii="Arial" w:hAnsi="Arial" w:cs="Arial"/>
          <w:sz w:val="22"/>
          <w:szCs w:val="22"/>
        </w:rPr>
        <w:t>T</w:t>
      </w:r>
      <w:r w:rsidRPr="714D9301">
        <w:rPr>
          <w:rFonts w:ascii="Arial" w:hAnsi="Arial" w:eastAsia="Arial" w:cs="Arial"/>
          <w:sz w:val="22"/>
          <w:szCs w:val="22"/>
        </w:rPr>
        <w:t xml:space="preserve">he interest in building electrification stems from the fact </w:t>
      </w:r>
      <w:r w:rsidRPr="714D9301">
        <w:rPr>
          <w:rFonts w:ascii="Arial" w:hAnsi="Arial" w:cs="Arial"/>
          <w:sz w:val="22"/>
          <w:szCs w:val="22"/>
        </w:rPr>
        <w:t xml:space="preserve">that </w:t>
      </w:r>
      <w:r w:rsidRPr="714D9301" w:rsidR="3475705B">
        <w:rPr>
          <w:rFonts w:ascii="Arial" w:hAnsi="Arial" w:cs="Arial"/>
          <w:sz w:val="22"/>
          <w:szCs w:val="22"/>
        </w:rPr>
        <w:t xml:space="preserve">Central Coast Community Energy </w:t>
      </w:r>
      <w:r w:rsidRPr="714D9301">
        <w:rPr>
          <w:rFonts w:ascii="Arial" w:hAnsi="Arial" w:cs="Arial"/>
          <w:sz w:val="22"/>
          <w:szCs w:val="22"/>
        </w:rPr>
        <w:t xml:space="preserve">is </w:t>
      </w:r>
      <w:r w:rsidRPr="714D9301" w:rsidR="23C879FA">
        <w:rPr>
          <w:rFonts w:ascii="Arial" w:hAnsi="Arial" w:cs="Arial"/>
          <w:sz w:val="22"/>
          <w:szCs w:val="22"/>
        </w:rPr>
        <w:t>committing to providing</w:t>
      </w:r>
      <w:r w:rsidRPr="714D9301" w:rsidR="003C2045">
        <w:rPr>
          <w:rFonts w:ascii="Arial" w:hAnsi="Arial" w:cs="Arial"/>
          <w:sz w:val="22"/>
          <w:szCs w:val="22"/>
        </w:rPr>
        <w:t xml:space="preserve"> </w:t>
      </w:r>
      <w:r w:rsidRPr="714D9301">
        <w:rPr>
          <w:rFonts w:ascii="Arial" w:hAnsi="Arial" w:cs="Arial"/>
          <w:sz w:val="22"/>
          <w:szCs w:val="22"/>
        </w:rPr>
        <w:t xml:space="preserve">100% </w:t>
      </w:r>
      <w:r w:rsidRPr="714D9301">
        <w:rPr>
          <w:rFonts w:ascii="Arial" w:hAnsi="Arial" w:eastAsia="Arial" w:cs="Arial"/>
          <w:sz w:val="22"/>
          <w:szCs w:val="22"/>
        </w:rPr>
        <w:t xml:space="preserve">carbon-free electricity </w:t>
      </w:r>
      <w:r w:rsidRPr="714D9301" w:rsidR="52E56A1E">
        <w:rPr>
          <w:rFonts w:ascii="Arial" w:hAnsi="Arial" w:eastAsia="Arial" w:cs="Arial"/>
          <w:sz w:val="22"/>
          <w:szCs w:val="22"/>
        </w:rPr>
        <w:t xml:space="preserve">by 2030 </w:t>
      </w:r>
      <w:r w:rsidRPr="714D9301">
        <w:rPr>
          <w:rFonts w:ascii="Arial" w:hAnsi="Arial" w:eastAsia="Arial" w:cs="Arial"/>
          <w:sz w:val="22"/>
          <w:szCs w:val="22"/>
        </w:rPr>
        <w:t>and eliminating the use of fuel gas, which can greatly reduce greenhouse gas emissions from the building sector.</w:t>
      </w:r>
      <w:r w:rsidRPr="714D9301">
        <w:rPr>
          <w:rFonts w:ascii="Arial" w:hAnsi="Arial" w:cs="Arial"/>
          <w:sz w:val="22"/>
          <w:szCs w:val="22"/>
        </w:rPr>
        <w:t xml:space="preserve"> The </w:t>
      </w:r>
      <w:r w:rsidRPr="714D9301">
        <w:rPr>
          <w:rFonts w:ascii="Arial" w:hAnsi="Arial" w:cs="Arial"/>
          <w:sz w:val="22"/>
          <w:szCs w:val="22"/>
          <w:highlight w:val="lightGray"/>
        </w:rPr>
        <w:t>&lt;City/Town of XX&gt;</w:t>
      </w:r>
      <w:r w:rsidRPr="714D9301">
        <w:rPr>
          <w:rFonts w:ascii="Arial" w:hAnsi="Arial" w:cs="Arial"/>
          <w:sz w:val="22"/>
          <w:szCs w:val="22"/>
        </w:rPr>
        <w:t xml:space="preserve"> has demonstrated leadership in sustainability when </w:t>
      </w:r>
      <w:bookmarkEnd w:id="4"/>
      <w:r w:rsidRPr="714D9301">
        <w:rPr>
          <w:rFonts w:ascii="Arial" w:hAnsi="Arial" w:cs="Arial"/>
          <w:sz w:val="22"/>
          <w:szCs w:val="22"/>
          <w:highlight w:val="lightGray"/>
        </w:rPr>
        <w:t>&lt;proof that this City has demonstrated leadership in sustainability&gt;.</w:t>
      </w:r>
    </w:p>
    <w:p w:rsidR="103354F8" w:rsidP="103354F8" w:rsidRDefault="103354F8" w14:paraId="08F73333" w14:textId="56BD2B9A">
      <w:pPr>
        <w:rPr>
          <w:rFonts w:ascii="Arial" w:hAnsi="Arial" w:cs="Arial"/>
        </w:rPr>
      </w:pPr>
    </w:p>
    <w:p w:rsidRPr="008E3950" w:rsidR="008E3950" w:rsidP="008E3950" w:rsidRDefault="70F53A4B" w14:paraId="01BCA35B" w14:textId="755DD04B">
      <w:pPr>
        <w:autoSpaceDE w:val="0"/>
        <w:autoSpaceDN w:val="0"/>
        <w:adjustRightInd w:val="0"/>
        <w:rPr>
          <w:rFonts w:ascii="Arial" w:hAnsi="Arial" w:cs="Arial"/>
          <w:sz w:val="22"/>
          <w:szCs w:val="22"/>
        </w:rPr>
      </w:pPr>
      <w:r w:rsidRPr="714D9301">
        <w:rPr>
          <w:rFonts w:ascii="Arial" w:hAnsi="Arial" w:cs="Arial"/>
          <w:sz w:val="22"/>
          <w:szCs w:val="22"/>
        </w:rPr>
        <w:t xml:space="preserve">In alignment with the above, staff recommends modifying </w:t>
      </w:r>
      <w:r w:rsidRPr="005B33C7" w:rsidR="00B255D7">
        <w:rPr>
          <w:rFonts w:ascii="Arial" w:hAnsi="Arial" w:cs="Arial"/>
          <w:sz w:val="22"/>
          <w:szCs w:val="22"/>
          <w:highlight w:val="lightGray"/>
        </w:rPr>
        <w:t>&lt;</w:t>
      </w:r>
      <w:r w:rsidRPr="005B33C7">
        <w:rPr>
          <w:rFonts w:ascii="Arial" w:hAnsi="Arial" w:cs="Arial"/>
          <w:sz w:val="22"/>
          <w:szCs w:val="22"/>
          <w:highlight w:val="lightGray"/>
        </w:rPr>
        <w:t>Part 11 of the California Building Code</w:t>
      </w:r>
      <w:r w:rsidRPr="005B33C7" w:rsidR="005B33C7">
        <w:rPr>
          <w:rFonts w:ascii="Arial" w:hAnsi="Arial" w:cs="Arial"/>
          <w:sz w:val="22"/>
          <w:szCs w:val="22"/>
          <w:highlight w:val="lightGray"/>
        </w:rPr>
        <w:t xml:space="preserve"> or a local municipal code&gt;</w:t>
      </w:r>
      <w:r w:rsidRPr="005B33C7">
        <w:rPr>
          <w:rFonts w:ascii="Arial" w:hAnsi="Arial" w:cs="Arial"/>
          <w:sz w:val="22"/>
          <w:szCs w:val="22"/>
          <w:highlight w:val="lightGray"/>
        </w:rPr>
        <w:t>.</w:t>
      </w:r>
      <w:r w:rsidRPr="714D9301">
        <w:rPr>
          <w:rFonts w:ascii="Arial" w:hAnsi="Arial" w:cs="Arial"/>
          <w:sz w:val="22"/>
          <w:szCs w:val="22"/>
        </w:rPr>
        <w:t xml:space="preserve"> This report provides an overview of the Statewide cost-effectiveness study, detailed findings, and provides language recommended for the associated reach code for the 2022 code cycle.</w:t>
      </w:r>
    </w:p>
    <w:p w:rsidRPr="008E3950" w:rsidR="008E3950" w:rsidP="005B33C7" w:rsidRDefault="005B33C7" w14:paraId="3CD39687" w14:textId="0F4CFEB1">
      <w:pPr>
        <w:tabs>
          <w:tab w:val="left" w:pos="7030"/>
        </w:tabs>
        <w:autoSpaceDE w:val="0"/>
        <w:autoSpaceDN w:val="0"/>
        <w:adjustRightInd w:val="0"/>
        <w:rPr>
          <w:rFonts w:ascii="Arial" w:hAnsi="Arial" w:cs="Arial"/>
          <w:sz w:val="22"/>
          <w:szCs w:val="22"/>
        </w:rPr>
      </w:pPr>
      <w:r>
        <w:rPr>
          <w:rFonts w:ascii="Arial" w:hAnsi="Arial" w:cs="Arial"/>
          <w:sz w:val="22"/>
          <w:szCs w:val="22"/>
        </w:rPr>
        <w:tab/>
      </w:r>
    </w:p>
    <w:p w:rsidRPr="008E3950" w:rsidR="008E3950" w:rsidP="008E3950" w:rsidRDefault="008E3950" w14:paraId="1C4282ED" w14:textId="77777777">
      <w:pPr>
        <w:autoSpaceDE w:val="0"/>
        <w:autoSpaceDN w:val="0"/>
        <w:adjustRightInd w:val="0"/>
        <w:rPr>
          <w:rFonts w:ascii="Arial" w:hAnsi="Arial" w:cs="Arial"/>
          <w:b/>
          <w:sz w:val="22"/>
          <w:szCs w:val="22"/>
        </w:rPr>
      </w:pPr>
      <w:r w:rsidRPr="008E3950">
        <w:rPr>
          <w:rFonts w:ascii="Arial" w:hAnsi="Arial" w:cs="Arial"/>
          <w:b/>
          <w:sz w:val="22"/>
          <w:szCs w:val="22"/>
        </w:rPr>
        <w:t>Reach Code Adoption Process</w:t>
      </w:r>
    </w:p>
    <w:p w:rsidRPr="008E3950" w:rsidR="008E3950" w:rsidP="008E3950" w:rsidRDefault="6960C1B7" w14:paraId="3EA58C53" w14:textId="55C1863E">
      <w:pPr>
        <w:autoSpaceDE w:val="0"/>
        <w:autoSpaceDN w:val="0"/>
        <w:adjustRightInd w:val="0"/>
        <w:rPr>
          <w:rFonts w:ascii="Arial" w:hAnsi="Arial" w:cs="Arial"/>
          <w:sz w:val="22"/>
          <w:szCs w:val="22"/>
        </w:rPr>
      </w:pPr>
      <w:r w:rsidRPr="6960C1B7">
        <w:rPr>
          <w:rFonts w:ascii="Arial" w:hAnsi="Arial" w:cs="Arial"/>
          <w:sz w:val="22"/>
          <w:szCs w:val="22"/>
        </w:rPr>
        <w:t>Every three years, the State of California adopts new building standards that are organized in Title 24 of the California Code of Regulations, referred to as the California Building Standards Code. The 2019 Code became effective on January 1, 2020, and the 2022 Code will become effective on January 1, 2023. Cities and counties can adopt reach codes that set conditions above the minimum state code requirements. However, these reach codes must be filed with the California Building Standards Commission.</w:t>
      </w:r>
    </w:p>
    <w:p w:rsidRPr="008E3950" w:rsidR="008E3950" w:rsidP="008E3950" w:rsidRDefault="008E3950" w14:paraId="700517E7" w14:textId="77777777">
      <w:pPr>
        <w:autoSpaceDE w:val="0"/>
        <w:autoSpaceDN w:val="0"/>
        <w:adjustRightInd w:val="0"/>
        <w:rPr>
          <w:rFonts w:ascii="Arial" w:hAnsi="Arial" w:cs="Arial"/>
          <w:sz w:val="22"/>
          <w:szCs w:val="22"/>
        </w:rPr>
      </w:pPr>
    </w:p>
    <w:p w:rsidRPr="008E3950" w:rsidR="008E3950" w:rsidP="103354F8" w:rsidRDefault="103354F8" w14:paraId="0E72EB43" w14:textId="479B6745">
      <w:pPr>
        <w:autoSpaceDE w:val="0"/>
        <w:autoSpaceDN w:val="0"/>
        <w:adjustRightInd w:val="0"/>
        <w:rPr>
          <w:rFonts w:ascii="Arial" w:hAnsi="Arial" w:cs="Arial"/>
        </w:rPr>
      </w:pPr>
      <w:r w:rsidRPr="714D9301">
        <w:rPr>
          <w:rFonts w:ascii="Arial" w:hAnsi="Arial" w:cs="Arial"/>
          <w:sz w:val="22"/>
          <w:szCs w:val="22"/>
        </w:rPr>
        <w:t>If local amendments require energy efficiency or conservation measures, such as higher performance envelope or battery storage, the California Energy Commission (CEC) requires that the amendments be supported by a cost-effectiveness study and filed as amendments to the Energy Code (Title 24, Part 6). A cost-effectiveness study and filing with the CEC is not required for amendments that do not require efficiency or conservation, such as only requiring electrification, and the amendments can be made to the Green Building Standards Code (Title 24, Part 11, also known as CALGreen)</w:t>
      </w:r>
      <w:r w:rsidRPr="714D9301" w:rsidR="30439BD6">
        <w:rPr>
          <w:rFonts w:ascii="Arial" w:hAnsi="Arial" w:cs="Arial"/>
          <w:sz w:val="22"/>
          <w:szCs w:val="22"/>
        </w:rPr>
        <w:t xml:space="preserve"> or through a local municipal amendment, such as through a Health and Safety Code</w:t>
      </w:r>
      <w:r w:rsidRPr="714D9301">
        <w:rPr>
          <w:rFonts w:ascii="Arial" w:hAnsi="Arial" w:cs="Arial"/>
          <w:sz w:val="22"/>
          <w:szCs w:val="22"/>
        </w:rPr>
        <w:t xml:space="preserve">. However, a cost-effectiveness study can demonstrate to the </w:t>
      </w:r>
      <w:r w:rsidRPr="714D9301">
        <w:rPr>
          <w:rFonts w:ascii="Arial" w:hAnsi="Arial" w:cs="Arial"/>
          <w:sz w:val="22"/>
          <w:szCs w:val="22"/>
        </w:rPr>
        <w:lastRenderedPageBreak/>
        <w:t>public that amendments to the code are financially responsible and do not represent an unreasonable burden to the residential and nonresidential building owners and occupants.</w:t>
      </w:r>
    </w:p>
    <w:p w:rsidRPr="008E3950" w:rsidR="008E3950" w:rsidP="008E3950" w:rsidRDefault="008E3950" w14:paraId="69B82402" w14:textId="77777777">
      <w:pPr>
        <w:autoSpaceDE w:val="0"/>
        <w:autoSpaceDN w:val="0"/>
        <w:adjustRightInd w:val="0"/>
        <w:rPr>
          <w:rFonts w:ascii="Arial" w:hAnsi="Arial" w:cs="Arial"/>
          <w:sz w:val="22"/>
          <w:szCs w:val="22"/>
        </w:rPr>
      </w:pPr>
    </w:p>
    <w:p w:rsidRPr="008E3950" w:rsidR="008E3950" w:rsidP="008E3950" w:rsidRDefault="008E3950" w14:paraId="584A432E" w14:textId="77777777">
      <w:pPr>
        <w:autoSpaceDE w:val="0"/>
        <w:autoSpaceDN w:val="0"/>
        <w:adjustRightInd w:val="0"/>
        <w:rPr>
          <w:rFonts w:ascii="Arial" w:hAnsi="Arial" w:cs="Arial"/>
          <w:b/>
          <w:sz w:val="22"/>
          <w:szCs w:val="22"/>
        </w:rPr>
      </w:pPr>
      <w:r w:rsidRPr="008E3950">
        <w:rPr>
          <w:rFonts w:ascii="Arial" w:hAnsi="Arial" w:cs="Arial"/>
          <w:b/>
          <w:sz w:val="22"/>
          <w:szCs w:val="22"/>
        </w:rPr>
        <w:t>Statewide Cost-Effectiveness Study for Energy Code Reach Codes</w:t>
      </w:r>
    </w:p>
    <w:p w:rsidRPr="008E3950" w:rsidR="008E3950" w:rsidP="103354F8" w:rsidRDefault="5431ADFA" w14:paraId="53EE031C" w14:textId="14C32BA5">
      <w:pPr>
        <w:autoSpaceDE w:val="0"/>
        <w:autoSpaceDN w:val="0"/>
        <w:adjustRightInd w:val="0"/>
        <w:rPr>
          <w:rFonts w:ascii="Arial" w:hAnsi="Arial" w:cs="Arial"/>
          <w:sz w:val="22"/>
          <w:szCs w:val="22"/>
        </w:rPr>
      </w:pPr>
      <w:r w:rsidRPr="5431ADFA">
        <w:rPr>
          <w:rFonts w:ascii="Arial" w:hAnsi="Arial" w:cs="Arial"/>
          <w:sz w:val="22"/>
          <w:szCs w:val="22"/>
        </w:rPr>
        <w:t xml:space="preserve">Funded by the California investor-owned utilities (IOUs), the California Statewide Codes and Standards Program (Statewide Program) is leading the development of cost-effectiveness studies for Energy Code reach codes that examine different performance-based approaches for new construction of specific building types. </w:t>
      </w:r>
    </w:p>
    <w:p w:rsidRPr="008E3950" w:rsidR="008E3950" w:rsidP="103354F8" w:rsidRDefault="008E3950" w14:paraId="2345FBF6" w14:textId="3BEE1C01">
      <w:pPr>
        <w:autoSpaceDE w:val="0"/>
        <w:autoSpaceDN w:val="0"/>
        <w:adjustRightInd w:val="0"/>
        <w:rPr>
          <w:rFonts w:ascii="Arial" w:hAnsi="Arial" w:cs="Arial"/>
          <w:sz w:val="22"/>
          <w:szCs w:val="22"/>
        </w:rPr>
      </w:pPr>
    </w:p>
    <w:p w:rsidR="008E3950" w:rsidP="5431ADFA" w:rsidRDefault="5431ADFA" w14:paraId="288A83B2" w14:textId="076003C4">
      <w:pPr>
        <w:shd w:val="clear" w:color="auto" w:fill="FFFFFF" w:themeFill="background1"/>
        <w:rPr>
          <w:rFonts w:ascii="Arial" w:hAnsi="Arial" w:cs="Arial"/>
          <w:sz w:val="22"/>
          <w:szCs w:val="22"/>
        </w:rPr>
      </w:pPr>
      <w:bookmarkStart w:name="_Hlk8886591" w:id="5"/>
      <w:r w:rsidRPr="7E1A090B">
        <w:rPr>
          <w:rFonts w:ascii="Arial" w:hAnsi="Arial" w:cs="Arial"/>
          <w:sz w:val="22"/>
          <w:szCs w:val="22"/>
        </w:rPr>
        <w:t xml:space="preserve">The Statewide Program </w:t>
      </w:r>
      <w:r w:rsidRPr="7E1A090B" w:rsidR="78D2E9A7">
        <w:rPr>
          <w:rFonts w:ascii="Arial" w:hAnsi="Arial" w:cs="Arial"/>
          <w:sz w:val="22"/>
          <w:szCs w:val="22"/>
        </w:rPr>
        <w:t>analyzes</w:t>
      </w:r>
      <w:r w:rsidRPr="7E1A090B">
        <w:rPr>
          <w:rFonts w:ascii="Arial" w:hAnsi="Arial" w:cs="Arial"/>
          <w:sz w:val="22"/>
          <w:szCs w:val="22"/>
        </w:rPr>
        <w:t xml:space="preserve"> the cost-effectiveness of several new construction building prototypes. A </w:t>
      </w:r>
      <w:hyperlink r:id="rId19">
        <w:r w:rsidRPr="7E1A090B">
          <w:rPr>
            <w:rStyle w:val="Hyperlink"/>
            <w:rFonts w:ascii="Arial" w:hAnsi="Arial" w:cs="Arial"/>
            <w:sz w:val="22"/>
            <w:szCs w:val="22"/>
          </w:rPr>
          <w:t>Single Family and Accessory Dwelling Unit (ADU) cost-effectiveness study</w:t>
        </w:r>
      </w:hyperlink>
      <w:r w:rsidRPr="7E1A090B">
        <w:rPr>
          <w:rFonts w:ascii="Arial" w:hAnsi="Arial" w:cs="Arial"/>
          <w:sz w:val="22"/>
          <w:szCs w:val="22"/>
        </w:rPr>
        <w:t xml:space="preserve">, including one-story and </w:t>
      </w:r>
      <w:bookmarkEnd w:id="5"/>
      <w:r w:rsidRPr="7E1A090B">
        <w:rPr>
          <w:rFonts w:ascii="Arial" w:hAnsi="Arial" w:cs="Arial"/>
          <w:sz w:val="22"/>
          <w:szCs w:val="22"/>
        </w:rPr>
        <w:t>two-story single-family homes, and a 650 ft</w:t>
      </w:r>
      <w:r w:rsidRPr="7E1A090B">
        <w:rPr>
          <w:rFonts w:ascii="Arial" w:hAnsi="Arial" w:cs="Arial"/>
          <w:sz w:val="22"/>
          <w:szCs w:val="22"/>
          <w:vertAlign w:val="superscript"/>
        </w:rPr>
        <w:t xml:space="preserve">2 </w:t>
      </w:r>
      <w:r w:rsidRPr="7E1A090B">
        <w:rPr>
          <w:rFonts w:ascii="Arial" w:hAnsi="Arial" w:cs="Arial"/>
          <w:sz w:val="22"/>
          <w:szCs w:val="22"/>
        </w:rPr>
        <w:t>ADU, has been published thus far. Later in 2022,</w:t>
      </w:r>
      <w:r w:rsidRPr="7E1A090B">
        <w:rPr>
          <w:rFonts w:ascii="Arial" w:hAnsi="Arial" w:cs="Arial"/>
          <w:sz w:val="22"/>
          <w:szCs w:val="22"/>
          <w:vertAlign w:val="superscript"/>
        </w:rPr>
        <w:t xml:space="preserve"> </w:t>
      </w:r>
      <w:r w:rsidRPr="7E1A090B">
        <w:rPr>
          <w:rFonts w:ascii="Arial" w:hAnsi="Arial" w:cs="Arial"/>
          <w:sz w:val="22"/>
          <w:szCs w:val="22"/>
        </w:rPr>
        <w:t xml:space="preserve">a </w:t>
      </w:r>
      <w:hyperlink r:id="rId20">
        <w:r w:rsidRPr="7E1A090B">
          <w:rPr>
            <w:rStyle w:val="Hyperlink"/>
            <w:rFonts w:ascii="Arial" w:hAnsi="Arial" w:cs="Arial"/>
            <w:sz w:val="22"/>
            <w:szCs w:val="22"/>
          </w:rPr>
          <w:t>nonresidential cost-effectiveness</w:t>
        </w:r>
      </w:hyperlink>
      <w:r w:rsidRPr="7E1A090B">
        <w:rPr>
          <w:rFonts w:ascii="Arial" w:hAnsi="Arial" w:cs="Arial"/>
          <w:sz w:val="22"/>
          <w:szCs w:val="22"/>
        </w:rPr>
        <w:t xml:space="preserve"> study </w:t>
      </w:r>
      <w:r w:rsidRPr="7E1A090B" w:rsidR="00012A2F">
        <w:rPr>
          <w:rFonts w:ascii="Arial" w:hAnsi="Arial" w:cs="Arial"/>
          <w:sz w:val="22"/>
          <w:szCs w:val="22"/>
        </w:rPr>
        <w:t>was</w:t>
      </w:r>
      <w:r w:rsidRPr="7E1A090B">
        <w:rPr>
          <w:rFonts w:ascii="Arial" w:hAnsi="Arial" w:cs="Arial"/>
          <w:sz w:val="22"/>
          <w:szCs w:val="22"/>
        </w:rPr>
        <w:t xml:space="preserve"> released that analyzes cost-effectiveness of a three-story office building, a one-story retail building, a four-story hotel, and a quick-service restaurant. In early 2023, a </w:t>
      </w:r>
      <w:hyperlink r:id="rId21">
        <w:r w:rsidRPr="7E1A090B">
          <w:rPr>
            <w:rStyle w:val="Hyperlink"/>
            <w:rFonts w:ascii="Arial" w:hAnsi="Arial" w:cs="Arial"/>
            <w:sz w:val="22"/>
            <w:szCs w:val="22"/>
          </w:rPr>
          <w:t>multifamily building cost-effectiveness</w:t>
        </w:r>
      </w:hyperlink>
      <w:r w:rsidRPr="7E1A090B">
        <w:rPr>
          <w:rFonts w:ascii="Arial" w:hAnsi="Arial" w:cs="Arial"/>
          <w:sz w:val="22"/>
          <w:szCs w:val="22"/>
        </w:rPr>
        <w:t xml:space="preserve"> w</w:t>
      </w:r>
      <w:r w:rsidRPr="7E1A090B" w:rsidR="00B96309">
        <w:rPr>
          <w:rFonts w:ascii="Arial" w:hAnsi="Arial" w:cs="Arial"/>
          <w:sz w:val="22"/>
          <w:szCs w:val="22"/>
        </w:rPr>
        <w:t>as</w:t>
      </w:r>
      <w:r w:rsidRPr="7E1A090B">
        <w:rPr>
          <w:rFonts w:ascii="Arial" w:hAnsi="Arial" w:cs="Arial"/>
          <w:sz w:val="22"/>
          <w:szCs w:val="22"/>
        </w:rPr>
        <w:t xml:space="preserve"> released. </w:t>
      </w:r>
    </w:p>
    <w:p w:rsidR="008E3950" w:rsidP="5431ADFA" w:rsidRDefault="008E3950" w14:paraId="1F1EAA83" w14:textId="32B1404E">
      <w:pPr>
        <w:shd w:val="clear" w:color="auto" w:fill="FFFFFF" w:themeFill="background1"/>
        <w:rPr>
          <w:rFonts w:ascii="Arial" w:hAnsi="Arial" w:cs="Arial"/>
          <w:sz w:val="22"/>
          <w:szCs w:val="22"/>
        </w:rPr>
      </w:pPr>
    </w:p>
    <w:p w:rsidR="008E3950" w:rsidP="103354F8" w:rsidRDefault="5431ADFA" w14:paraId="3F5F3583" w14:textId="6FB266E0">
      <w:pPr>
        <w:shd w:val="clear" w:color="auto" w:fill="FFFFFF" w:themeFill="background1"/>
        <w:rPr>
          <w:rFonts w:ascii="Arial" w:hAnsi="Arial" w:cs="Arial"/>
          <w:sz w:val="22"/>
          <w:szCs w:val="22"/>
        </w:rPr>
      </w:pPr>
      <w:r w:rsidRPr="5431ADFA">
        <w:rPr>
          <w:rFonts w:ascii="Arial" w:hAnsi="Arial" w:cs="Arial"/>
          <w:sz w:val="22"/>
          <w:szCs w:val="22"/>
        </w:rPr>
        <w:t xml:space="preserve">The Single-Family and ADU study prototypes are directly applicable to </w:t>
      </w:r>
      <w:r w:rsidRPr="5431ADFA">
        <w:rPr>
          <w:rFonts w:ascii="Arial" w:hAnsi="Arial" w:cs="Arial"/>
          <w:sz w:val="22"/>
          <w:szCs w:val="22"/>
          <w:highlight w:val="lightGray"/>
        </w:rPr>
        <w:t>&lt;City/Town Name&gt;</w:t>
      </w:r>
      <w:r w:rsidRPr="5431ADFA">
        <w:rPr>
          <w:rFonts w:ascii="Arial" w:hAnsi="Arial" w:cs="Arial"/>
          <w:sz w:val="22"/>
          <w:szCs w:val="22"/>
        </w:rPr>
        <w:t xml:space="preserve"> development. The City has averaged </w:t>
      </w:r>
      <w:r w:rsidRPr="5431ADFA">
        <w:rPr>
          <w:rFonts w:ascii="Arial" w:hAnsi="Arial" w:cs="Arial"/>
          <w:sz w:val="22"/>
          <w:szCs w:val="22"/>
          <w:highlight w:val="lightGray"/>
        </w:rPr>
        <w:t>&lt;number of single-family homes permitted year&gt;</w:t>
      </w:r>
      <w:r w:rsidRPr="5431ADFA">
        <w:rPr>
          <w:rFonts w:ascii="Arial" w:hAnsi="Arial" w:cs="Arial"/>
          <w:sz w:val="22"/>
          <w:szCs w:val="22"/>
        </w:rPr>
        <w:t xml:space="preserve"> new single-family homes constructed each year over the past five years. Additionally, many approved development projects include </w:t>
      </w:r>
      <w:r w:rsidRPr="5431ADFA">
        <w:rPr>
          <w:rFonts w:ascii="Arial" w:hAnsi="Arial" w:cs="Arial"/>
          <w:sz w:val="22"/>
          <w:szCs w:val="22"/>
          <w:highlight w:val="lightGray"/>
        </w:rPr>
        <w:t>&lt;type of non-res buildings most commonly permitted&gt;</w:t>
      </w:r>
      <w:r w:rsidRPr="5431ADFA">
        <w:rPr>
          <w:rFonts w:ascii="Arial" w:hAnsi="Arial" w:cs="Arial"/>
          <w:sz w:val="22"/>
          <w:szCs w:val="22"/>
        </w:rPr>
        <w:t>.</w:t>
      </w:r>
    </w:p>
    <w:p w:rsidR="103354F8" w:rsidP="103354F8" w:rsidRDefault="103354F8" w14:paraId="618B595B" w14:textId="0F0E7896">
      <w:pPr>
        <w:shd w:val="clear" w:color="auto" w:fill="FFFFFF" w:themeFill="background1"/>
        <w:rPr>
          <w:rFonts w:ascii="Arial" w:hAnsi="Arial" w:cs="Arial"/>
        </w:rPr>
      </w:pPr>
    </w:p>
    <w:p w:rsidR="103354F8" w:rsidP="1BEEE9CA" w:rsidRDefault="5431ADFA" w14:paraId="25691648" w14:textId="081692E5">
      <w:pPr>
        <w:shd w:val="clear" w:color="auto" w:fill="FFFFFF" w:themeFill="background1"/>
        <w:rPr>
          <w:rFonts w:ascii="Arial" w:hAnsi="Arial" w:cs="Arial"/>
          <w:sz w:val="22"/>
          <w:szCs w:val="22"/>
        </w:rPr>
      </w:pPr>
      <w:r w:rsidRPr="714D9301">
        <w:rPr>
          <w:rFonts w:ascii="Arial" w:hAnsi="Arial" w:cs="Arial"/>
          <w:sz w:val="22"/>
          <w:szCs w:val="22"/>
        </w:rPr>
        <w:t xml:space="preserve">The Statewide Program team analyzed the capital and operational costs of mixed-fuel and all-electric new construction over 30 years for residential buildings. Results generally indicate that all-electric new construction is cost-effective in </w:t>
      </w:r>
      <w:r w:rsidRPr="714D9301">
        <w:rPr>
          <w:rFonts w:ascii="Arial" w:hAnsi="Arial" w:cs="Arial"/>
          <w:sz w:val="22"/>
          <w:szCs w:val="22"/>
          <w:highlight w:val="lightGray"/>
        </w:rPr>
        <w:t>&lt;City/Town Name&gt;’s</w:t>
      </w:r>
      <w:r w:rsidRPr="714D9301">
        <w:rPr>
          <w:rFonts w:ascii="Arial" w:hAnsi="Arial" w:cs="Arial"/>
          <w:sz w:val="22"/>
          <w:szCs w:val="22"/>
        </w:rPr>
        <w:t xml:space="preserve"> climate zone using an energy policy metric used by the CEC to develop statewide policy known as Time Dependent Valuation (TDV), which includes societal costs of greenhouse gas emissions. While there is an on-bill cost-effective pathway for all-electric new construction electrification, this package requires the addition of some limited efficiency measures and/or increases in on-site solar photovoltaics (PV) beyond what is already required by the state.</w:t>
      </w:r>
      <w:commentRangeStart w:id="6"/>
      <w:r w:rsidRPr="714D9301">
        <w:rPr>
          <w:rFonts w:ascii="Arial" w:hAnsi="Arial" w:cs="Arial"/>
          <w:sz w:val="22"/>
          <w:szCs w:val="22"/>
        </w:rPr>
        <w:t xml:space="preserve"> Generally, all-electric buildings are less costly upfront to construct, but operational costs increase compared to mixed-fuel buildings, thus additional solar PV and efficiency measures are necessary to be on-bill cost-effective.</w:t>
      </w:r>
      <w:commentRangeEnd w:id="6"/>
      <w:r>
        <w:rPr>
          <w:rStyle w:val="CommentReference"/>
        </w:rPr>
        <w:commentReference w:id="6"/>
      </w:r>
    </w:p>
    <w:p w:rsidR="00D04405" w:rsidP="103354F8" w:rsidRDefault="00D04405" w14:paraId="50568038" w14:textId="2181CF32">
      <w:pPr>
        <w:shd w:val="clear" w:color="auto" w:fill="FFFFFF" w:themeFill="background1"/>
        <w:rPr>
          <w:rFonts w:ascii="Arial" w:hAnsi="Arial" w:cs="Arial"/>
          <w:sz w:val="22"/>
          <w:szCs w:val="22"/>
        </w:rPr>
      </w:pPr>
    </w:p>
    <w:p w:rsidR="103354F8" w:rsidP="103354F8" w:rsidRDefault="103354F8" w14:paraId="6B50FF2F" w14:textId="289C92E0">
      <w:pPr>
        <w:shd w:val="clear" w:color="auto" w:fill="FFFFFF" w:themeFill="background1"/>
        <w:rPr>
          <w:rFonts w:ascii="Arial" w:hAnsi="Arial" w:cs="Arial"/>
          <w:b/>
          <w:bCs/>
          <w:sz w:val="22"/>
          <w:szCs w:val="22"/>
        </w:rPr>
      </w:pPr>
      <w:r w:rsidRPr="103354F8">
        <w:rPr>
          <w:rFonts w:ascii="Arial" w:hAnsi="Arial" w:cs="Arial"/>
          <w:b/>
          <w:bCs/>
          <w:sz w:val="22"/>
          <w:szCs w:val="22"/>
        </w:rPr>
        <w:t>Electrification Policy Types</w:t>
      </w:r>
    </w:p>
    <w:p w:rsidR="00D04405" w:rsidP="00D04405" w:rsidRDefault="00D04405" w14:paraId="069C77F6" w14:textId="08730024">
      <w:pPr>
        <w:spacing w:line="276" w:lineRule="auto"/>
        <w:ind w:right="93"/>
        <w:rPr>
          <w:rFonts w:ascii="Arial" w:hAnsi="Arial" w:cs="Arial"/>
          <w:sz w:val="22"/>
          <w:szCs w:val="22"/>
        </w:rPr>
      </w:pPr>
      <w:r>
        <w:rPr>
          <w:rFonts w:ascii="Arial" w:hAnsi="Arial" w:cs="Arial"/>
          <w:sz w:val="22"/>
          <w:szCs w:val="22"/>
        </w:rPr>
        <w:t>Building appliance electrification options</w:t>
      </w:r>
      <w:r w:rsidRPr="00D04405">
        <w:rPr>
          <w:rFonts w:ascii="Arial" w:hAnsi="Arial" w:cs="Arial"/>
          <w:sz w:val="22"/>
          <w:szCs w:val="22"/>
        </w:rPr>
        <w:t xml:space="preserve"> in California can generally be broken into three categories:</w:t>
      </w:r>
    </w:p>
    <w:p w:rsidRPr="0065673B" w:rsidR="00D04405" w:rsidP="103354F8" w:rsidRDefault="103354F8" w14:paraId="0BF66565" w14:textId="4B3A2CCB">
      <w:pPr>
        <w:pStyle w:val="ListParagraph"/>
        <w:numPr>
          <w:ilvl w:val="0"/>
          <w:numId w:val="36"/>
        </w:numPr>
        <w:shd w:val="clear" w:color="auto" w:fill="FFFFFF" w:themeFill="background1"/>
        <w:rPr>
          <w:rFonts w:ascii="Arial" w:hAnsi="Arial" w:cs="Arial"/>
        </w:rPr>
      </w:pPr>
      <w:r w:rsidRPr="103354F8">
        <w:rPr>
          <w:rFonts w:ascii="Arial" w:hAnsi="Arial" w:cs="Arial"/>
          <w:u w:val="single"/>
        </w:rPr>
        <w:t>All-Electric Municipal Ordinance</w:t>
      </w:r>
      <w:r w:rsidRPr="103354F8">
        <w:rPr>
          <w:rFonts w:ascii="Arial" w:hAnsi="Arial" w:cs="Arial"/>
        </w:rPr>
        <w:t>: No gas hookup allowed (via municipal ordinance), with limited exceptions. Is not tied to the building code and can be adopted indefinitely</w:t>
      </w:r>
    </w:p>
    <w:p w:rsidRPr="0065673B" w:rsidR="00D04405" w:rsidP="103354F8" w:rsidRDefault="103354F8" w14:paraId="41A5EC03" w14:textId="37A9EABC">
      <w:pPr>
        <w:pStyle w:val="ListParagraph"/>
        <w:numPr>
          <w:ilvl w:val="0"/>
          <w:numId w:val="36"/>
        </w:numPr>
        <w:shd w:val="clear" w:color="auto" w:fill="FFFFFF" w:themeFill="background1"/>
        <w:rPr>
          <w:rFonts w:ascii="Arial" w:hAnsi="Arial" w:cs="Arial"/>
        </w:rPr>
      </w:pPr>
      <w:r w:rsidRPr="103354F8">
        <w:rPr>
          <w:rFonts w:ascii="Arial" w:hAnsi="Arial" w:cs="Arial"/>
          <w:u w:val="single"/>
        </w:rPr>
        <w:t>All-Electric Required</w:t>
      </w:r>
      <w:r w:rsidRPr="103354F8">
        <w:rPr>
          <w:rFonts w:ascii="Arial" w:hAnsi="Arial" w:cs="Arial"/>
        </w:rPr>
        <w:t>: Appliances must be electric (via CALGreen, Title 24 Part 11), with some exceptions. Must be re-adopted with every code cycle.</w:t>
      </w:r>
    </w:p>
    <w:p w:rsidR="103354F8" w:rsidP="103354F8" w:rsidRDefault="70F53A4B" w14:paraId="0130ACC4" w14:textId="0C1D0A49">
      <w:pPr>
        <w:pStyle w:val="ListParagraph"/>
        <w:numPr>
          <w:ilvl w:val="0"/>
          <w:numId w:val="36"/>
        </w:numPr>
        <w:shd w:val="clear" w:color="auto" w:fill="FFFFFF" w:themeFill="background1"/>
        <w:rPr>
          <w:rFonts w:cs="Calibri"/>
        </w:rPr>
      </w:pPr>
      <w:r w:rsidRPr="70F53A4B">
        <w:rPr>
          <w:rFonts w:ascii="Arial" w:hAnsi="Arial" w:cs="Arial"/>
          <w:u w:val="single"/>
        </w:rPr>
        <w:t>All-Electric Required plus Efficiency and/or Solar PV</w:t>
      </w:r>
      <w:r w:rsidRPr="70F53A4B">
        <w:rPr>
          <w:rFonts w:ascii="Arial" w:hAnsi="Arial" w:cs="Arial"/>
        </w:rPr>
        <w:t>: Appliances must be electric and include a package of efficiency and solar PV measures (via Energy Code, Title 24 Part 6), with some exceptions. Must be approved by the CEC and re-adopted with every code cycle.</w:t>
      </w:r>
    </w:p>
    <w:p w:rsidRPr="0065673B" w:rsidR="00D04405" w:rsidP="103354F8" w:rsidRDefault="103354F8" w14:paraId="5AE1CFDD" w14:textId="15C85F3B">
      <w:pPr>
        <w:pStyle w:val="ListParagraph"/>
        <w:numPr>
          <w:ilvl w:val="0"/>
          <w:numId w:val="36"/>
        </w:numPr>
        <w:shd w:val="clear" w:color="auto" w:fill="FFFFFF" w:themeFill="background1"/>
        <w:rPr>
          <w:rFonts w:ascii="Arial" w:hAnsi="Arial" w:eastAsia="Arial" w:cs="Arial"/>
        </w:rPr>
      </w:pPr>
      <w:r w:rsidRPr="103354F8">
        <w:rPr>
          <w:rFonts w:ascii="Arial" w:hAnsi="Arial" w:cs="Arial"/>
          <w:u w:val="single"/>
        </w:rPr>
        <w:t>All-Electric Preferred</w:t>
      </w:r>
      <w:r w:rsidRPr="103354F8">
        <w:rPr>
          <w:rFonts w:ascii="Arial" w:hAnsi="Arial" w:cs="Arial"/>
        </w:rPr>
        <w:t xml:space="preserve">: Allows mixed-fuel buildings with high energy performance, requiring additional energy efficiency measures, battery storage, and/or pre-wiring for buildings to be electric-ready (via Energy Code, Title 24 Part 6). Must be submitted to the CEC and re-adopted with every code cycle. The state’s 2022 Energy Code already represents an All-Electric Preferred model in a number of ways, such as improved TDV performance, pre-wiring for gas appliances, and higher ventilation rates for gas stoves. </w:t>
      </w:r>
      <w:r w:rsidRPr="103354F8">
        <w:rPr>
          <w:rFonts w:ascii="Arial" w:hAnsi="Arial" w:cs="Arial"/>
        </w:rPr>
        <w:lastRenderedPageBreak/>
        <w:t>This local amendment would tip the scales even more toward all-electric new construction.</w:t>
      </w:r>
    </w:p>
    <w:p w:rsidRPr="008E3950" w:rsidR="008E3950" w:rsidP="008E3950" w:rsidRDefault="008E3950" w14:paraId="4294B77C" w14:textId="77777777">
      <w:pPr>
        <w:shd w:val="clear" w:color="auto" w:fill="FFFFFF"/>
        <w:rPr>
          <w:rFonts w:ascii="Arial" w:hAnsi="Arial" w:cs="Arial"/>
          <w:sz w:val="22"/>
          <w:szCs w:val="22"/>
        </w:rPr>
      </w:pPr>
    </w:p>
    <w:p w:rsidRPr="008E3950" w:rsidR="008E3950" w:rsidP="008E3950" w:rsidRDefault="008E3950" w14:paraId="5E4FE22B" w14:textId="77777777">
      <w:pPr>
        <w:shd w:val="clear" w:color="auto" w:fill="FFFFFF"/>
        <w:rPr>
          <w:rFonts w:ascii="Arial" w:hAnsi="Arial" w:cs="Arial"/>
          <w:b/>
          <w:sz w:val="22"/>
          <w:szCs w:val="22"/>
        </w:rPr>
      </w:pPr>
      <w:r w:rsidRPr="008E3950">
        <w:rPr>
          <w:rFonts w:ascii="Arial" w:hAnsi="Arial" w:cs="Arial"/>
          <w:b/>
          <w:sz w:val="22"/>
          <w:szCs w:val="22"/>
        </w:rPr>
        <w:t>Electric Vehicle Charging Infrastructure</w:t>
      </w:r>
    </w:p>
    <w:p w:rsidRPr="008E3950" w:rsidR="008E3950" w:rsidP="008E3950" w:rsidRDefault="008E3950" w14:paraId="39A46875" w14:textId="77777777">
      <w:pPr>
        <w:autoSpaceDE w:val="0"/>
        <w:autoSpaceDN w:val="0"/>
        <w:adjustRightInd w:val="0"/>
        <w:rPr>
          <w:rFonts w:ascii="Arial" w:hAnsi="Arial" w:cs="Arial"/>
          <w:sz w:val="22"/>
          <w:szCs w:val="22"/>
        </w:rPr>
      </w:pPr>
      <w:r w:rsidRPr="008E3950">
        <w:rPr>
          <w:rFonts w:ascii="Arial" w:hAnsi="Arial" w:cs="Arial"/>
          <w:sz w:val="22"/>
          <w:szCs w:val="22"/>
        </w:rPr>
        <w:t>Electric Vehicle (EV) charging requirements in California can generally be broken into three categories:</w:t>
      </w:r>
    </w:p>
    <w:p w:rsidRPr="008E3950" w:rsidR="008E3950" w:rsidP="008E3950" w:rsidRDefault="103354F8" w14:paraId="73482C5D" w14:textId="3733FB65">
      <w:pPr>
        <w:pStyle w:val="ListParagraph"/>
        <w:numPr>
          <w:ilvl w:val="0"/>
          <w:numId w:val="29"/>
        </w:numPr>
        <w:autoSpaceDE w:val="0"/>
        <w:autoSpaceDN w:val="0"/>
        <w:adjustRightInd w:val="0"/>
        <w:spacing w:after="0" w:line="240" w:lineRule="auto"/>
        <w:rPr>
          <w:rFonts w:ascii="Arial" w:hAnsi="Arial" w:eastAsia="Times New Roman" w:cs="Arial"/>
        </w:rPr>
      </w:pPr>
      <w:r w:rsidRPr="103354F8">
        <w:rPr>
          <w:rFonts w:ascii="Arial" w:hAnsi="Arial" w:eastAsia="Times New Roman" w:cs="Arial"/>
          <w:u w:val="single"/>
        </w:rPr>
        <w:t>EV Charging Station</w:t>
      </w:r>
      <w:r w:rsidRPr="103354F8">
        <w:rPr>
          <w:rFonts w:ascii="Arial" w:hAnsi="Arial" w:eastAsia="Times New Roman" w:cs="Arial"/>
        </w:rPr>
        <w:t>: All supply equipment is installed at a parking space, such that an EV can charge without additional equipment.</w:t>
      </w:r>
    </w:p>
    <w:p w:rsidRPr="008E3950" w:rsidR="008E3950" w:rsidP="008E3950" w:rsidRDefault="103354F8" w14:paraId="32DAE026" w14:textId="6B9EE3EA">
      <w:pPr>
        <w:pStyle w:val="ListParagraph"/>
        <w:numPr>
          <w:ilvl w:val="0"/>
          <w:numId w:val="29"/>
        </w:numPr>
        <w:autoSpaceDE w:val="0"/>
        <w:autoSpaceDN w:val="0"/>
        <w:adjustRightInd w:val="0"/>
        <w:spacing w:after="0" w:line="240" w:lineRule="auto"/>
        <w:rPr>
          <w:rFonts w:ascii="Arial" w:hAnsi="Arial" w:eastAsia="Times New Roman" w:cs="Arial"/>
        </w:rPr>
      </w:pPr>
      <w:r w:rsidRPr="103354F8">
        <w:rPr>
          <w:rFonts w:ascii="Arial" w:hAnsi="Arial" w:eastAsia="Times New Roman" w:cs="Arial"/>
          <w:u w:val="single"/>
        </w:rPr>
        <w:t>EV Ready</w:t>
      </w:r>
      <w:r w:rsidRPr="103354F8">
        <w:rPr>
          <w:rFonts w:ascii="Arial" w:hAnsi="Arial" w:eastAsia="Times New Roman" w:cs="Arial"/>
        </w:rPr>
        <w:t>: Parking space is provided with all power supply and associated outlet, such that a driver-provided supply equipment can be plugged in and a vehicle can charge.</w:t>
      </w:r>
    </w:p>
    <w:p w:rsidRPr="008E3950" w:rsidR="008E3950" w:rsidP="008E3950" w:rsidRDefault="1BEEE9CA" w14:paraId="11D5EF18" w14:textId="341A5DDB">
      <w:pPr>
        <w:pStyle w:val="ListParagraph"/>
        <w:numPr>
          <w:ilvl w:val="0"/>
          <w:numId w:val="29"/>
        </w:numPr>
        <w:autoSpaceDE w:val="0"/>
        <w:autoSpaceDN w:val="0"/>
        <w:adjustRightInd w:val="0"/>
        <w:spacing w:after="0" w:line="240" w:lineRule="auto"/>
        <w:rPr>
          <w:rFonts w:ascii="Arial" w:hAnsi="Arial" w:eastAsia="Times New Roman" w:cs="Arial"/>
        </w:rPr>
      </w:pPr>
      <w:r w:rsidRPr="1BEEE9CA">
        <w:rPr>
          <w:rFonts w:ascii="Arial" w:hAnsi="Arial" w:eastAsia="Times New Roman" w:cs="Arial"/>
          <w:u w:val="single"/>
        </w:rPr>
        <w:t>EV Capable</w:t>
      </w:r>
      <w:r w:rsidRPr="1BEEE9CA">
        <w:rPr>
          <w:rFonts w:ascii="Arial" w:hAnsi="Arial" w:eastAsia="Times New Roman" w:cs="Arial"/>
        </w:rPr>
        <w:t>: Conduit is installed to the parking space, and building electrical panel and transformers have reserved capacity to serve future load. An electrician would be required to complete the circuit and/or increase the gauge of upstream wiring before charging is possible.</w:t>
      </w:r>
    </w:p>
    <w:p w:rsidRPr="008E3950" w:rsidR="008E3950" w:rsidP="008E3950" w:rsidRDefault="008E3950" w14:paraId="574224AA" w14:textId="77777777">
      <w:pPr>
        <w:autoSpaceDE w:val="0"/>
        <w:autoSpaceDN w:val="0"/>
        <w:adjustRightInd w:val="0"/>
        <w:rPr>
          <w:rFonts w:ascii="Arial" w:hAnsi="Arial" w:cs="Arial"/>
          <w:sz w:val="22"/>
          <w:szCs w:val="22"/>
        </w:rPr>
      </w:pPr>
    </w:p>
    <w:p w:rsidRPr="008E3950" w:rsidR="008E3950" w:rsidP="008E3950" w:rsidRDefault="4C73465C" w14:paraId="1F856966" w14:textId="2D6AD2E3">
      <w:pPr>
        <w:autoSpaceDE w:val="0"/>
        <w:autoSpaceDN w:val="0"/>
        <w:adjustRightInd w:val="0"/>
        <w:rPr>
          <w:rFonts w:ascii="Arial" w:hAnsi="Arial" w:cs="Arial"/>
          <w:sz w:val="22"/>
          <w:szCs w:val="22"/>
        </w:rPr>
      </w:pPr>
      <w:r w:rsidRPr="4C73465C">
        <w:rPr>
          <w:rFonts w:ascii="Arial" w:hAnsi="Arial" w:cs="Arial"/>
          <w:sz w:val="22"/>
          <w:szCs w:val="22"/>
        </w:rPr>
        <w:t>EV charging capacity can be summarized as three categories:</w:t>
      </w:r>
    </w:p>
    <w:p w:rsidRPr="008E3950" w:rsidR="008E3950" w:rsidP="008E3950" w:rsidRDefault="6960C1B7" w14:paraId="5C292726" w14:textId="30C256E7">
      <w:pPr>
        <w:pStyle w:val="ListParagraph"/>
        <w:numPr>
          <w:ilvl w:val="0"/>
          <w:numId w:val="34"/>
        </w:numPr>
        <w:autoSpaceDE w:val="0"/>
        <w:autoSpaceDN w:val="0"/>
        <w:adjustRightInd w:val="0"/>
        <w:spacing w:after="0" w:line="240" w:lineRule="auto"/>
        <w:rPr>
          <w:rFonts w:ascii="Arial" w:hAnsi="Arial" w:eastAsia="Times New Roman" w:cs="Arial"/>
        </w:rPr>
      </w:pPr>
      <w:r w:rsidRPr="6960C1B7">
        <w:rPr>
          <w:rFonts w:ascii="Arial" w:hAnsi="Arial" w:eastAsia="Times New Roman" w:cs="Arial"/>
          <w:u w:val="single"/>
        </w:rPr>
        <w:t>Level 1</w:t>
      </w:r>
      <w:r w:rsidRPr="6960C1B7">
        <w:rPr>
          <w:rFonts w:ascii="Arial" w:hAnsi="Arial" w:eastAsia="Times New Roman" w:cs="Arial"/>
        </w:rPr>
        <w:t>: Capable of charging at 110/120V,16A. This is equivalent to a standard home outlet.</w:t>
      </w:r>
    </w:p>
    <w:p w:rsidRPr="008E3950" w:rsidR="008E3950" w:rsidP="1BEEE9CA" w:rsidRDefault="23037916" w14:paraId="31CFC661" w14:textId="408BE8C7">
      <w:pPr>
        <w:pStyle w:val="ListParagraph"/>
        <w:numPr>
          <w:ilvl w:val="0"/>
          <w:numId w:val="34"/>
        </w:numPr>
        <w:autoSpaceDE w:val="0"/>
        <w:autoSpaceDN w:val="0"/>
        <w:adjustRightInd w:val="0"/>
        <w:spacing w:after="0" w:line="240" w:lineRule="auto"/>
        <w:rPr>
          <w:rFonts w:ascii="Arial" w:hAnsi="Arial" w:eastAsia="Arial" w:cs="Arial"/>
        </w:rPr>
      </w:pPr>
      <w:r w:rsidRPr="23037916">
        <w:rPr>
          <w:rFonts w:ascii="Arial" w:hAnsi="Arial" w:eastAsia="Times New Roman" w:cs="Arial"/>
          <w:u w:val="single"/>
        </w:rPr>
        <w:t>Level 2</w:t>
      </w:r>
      <w:r w:rsidRPr="23037916">
        <w:rPr>
          <w:rFonts w:ascii="Arial" w:hAnsi="Arial" w:eastAsia="Times New Roman" w:cs="Arial"/>
        </w:rPr>
        <w:t>: Installation of a 208/240V, 40A circuit or 208/240V, 20A circuit for low-power. This is the service capacity typically used for larger appliance loads in homes.</w:t>
      </w:r>
    </w:p>
    <w:p w:rsidRPr="008E3950" w:rsidR="008E3950" w:rsidP="008E3950" w:rsidRDefault="70F53A4B" w14:paraId="0AFA4E75" w14:textId="77777777">
      <w:pPr>
        <w:pStyle w:val="ListParagraph"/>
        <w:numPr>
          <w:ilvl w:val="0"/>
          <w:numId w:val="34"/>
        </w:numPr>
        <w:autoSpaceDE w:val="0"/>
        <w:autoSpaceDN w:val="0"/>
        <w:adjustRightInd w:val="0"/>
        <w:spacing w:after="0" w:line="240" w:lineRule="auto"/>
        <w:rPr>
          <w:rFonts w:ascii="Arial" w:hAnsi="Arial" w:eastAsia="Times New Roman" w:cs="Arial"/>
        </w:rPr>
      </w:pPr>
      <w:r w:rsidRPr="70F53A4B">
        <w:rPr>
          <w:rFonts w:ascii="Arial" w:hAnsi="Arial" w:eastAsia="Times New Roman" w:cs="Arial"/>
          <w:u w:val="single"/>
        </w:rPr>
        <w:t>Level 3</w:t>
      </w:r>
      <w:r w:rsidRPr="70F53A4B">
        <w:rPr>
          <w:rFonts w:ascii="Arial" w:hAnsi="Arial" w:eastAsia="Times New Roman" w:cs="Arial"/>
        </w:rPr>
        <w:t xml:space="preserve"> (DC Fast Charging): Capable of charging at 20-400kW. This is the type of charger used for Tesla Superchargers and DC Fast Chargers at some supermarkets.</w:t>
      </w:r>
    </w:p>
    <w:p w:rsidRPr="008E3950" w:rsidR="008E3950" w:rsidP="008E3950" w:rsidRDefault="008E3950" w14:paraId="3FA0A277" w14:textId="77777777">
      <w:pPr>
        <w:autoSpaceDE w:val="0"/>
        <w:autoSpaceDN w:val="0"/>
        <w:adjustRightInd w:val="0"/>
        <w:rPr>
          <w:rFonts w:ascii="Arial" w:hAnsi="Arial" w:cs="Arial"/>
          <w:sz w:val="22"/>
          <w:szCs w:val="22"/>
        </w:rPr>
      </w:pPr>
    </w:p>
    <w:p w:rsidRPr="008E3950" w:rsidR="008E3950" w:rsidP="008E3950" w:rsidRDefault="1BEEE9CA" w14:paraId="10857F68" w14:textId="2290D2D5">
      <w:pPr>
        <w:autoSpaceDE w:val="0"/>
        <w:autoSpaceDN w:val="0"/>
        <w:adjustRightInd w:val="0"/>
        <w:rPr>
          <w:rFonts w:ascii="Arial" w:hAnsi="Arial" w:cs="Arial"/>
          <w:sz w:val="22"/>
          <w:szCs w:val="22"/>
        </w:rPr>
      </w:pPr>
      <w:r w:rsidRPr="1BEEE9CA">
        <w:rPr>
          <w:rFonts w:ascii="Arial" w:hAnsi="Arial" w:cs="Arial"/>
          <w:sz w:val="22"/>
          <w:szCs w:val="22"/>
        </w:rPr>
        <w:t>The 2022 California Green Building Code update (Title 24, Part 11) increased requirements for electric vehicle charging infrastructure in new construction; including:</w:t>
      </w:r>
    </w:p>
    <w:p w:rsidRPr="008E3950" w:rsidR="008E3950" w:rsidP="008E3950" w:rsidRDefault="008E3950" w14:paraId="6C7579E4" w14:textId="77777777">
      <w:pPr>
        <w:pStyle w:val="ListParagraph"/>
        <w:numPr>
          <w:ilvl w:val="0"/>
          <w:numId w:val="28"/>
        </w:numPr>
        <w:autoSpaceDE w:val="0"/>
        <w:autoSpaceDN w:val="0"/>
        <w:adjustRightInd w:val="0"/>
        <w:spacing w:after="0" w:line="240" w:lineRule="auto"/>
        <w:rPr>
          <w:rFonts w:ascii="Arial" w:hAnsi="Arial" w:eastAsia="Times New Roman" w:cs="Arial"/>
        </w:rPr>
      </w:pPr>
      <w:r w:rsidRPr="008E3950">
        <w:rPr>
          <w:rFonts w:ascii="Arial" w:hAnsi="Arial" w:eastAsia="Times New Roman" w:cs="Arial"/>
        </w:rPr>
        <w:t>New one- and two-family dwellings and townhouses with attached private garages: must be Level 2 EV-capable</w:t>
      </w:r>
    </w:p>
    <w:p w:rsidRPr="008E3950" w:rsidR="008E3950" w:rsidP="008E3950" w:rsidRDefault="1BEEE9CA" w14:paraId="69ECD37B" w14:textId="6C0B1CD9">
      <w:pPr>
        <w:pStyle w:val="ListParagraph"/>
        <w:numPr>
          <w:ilvl w:val="0"/>
          <w:numId w:val="28"/>
        </w:numPr>
        <w:autoSpaceDE w:val="0"/>
        <w:autoSpaceDN w:val="0"/>
        <w:adjustRightInd w:val="0"/>
        <w:spacing w:after="0" w:line="240" w:lineRule="auto"/>
        <w:rPr>
          <w:rFonts w:ascii="Arial" w:hAnsi="Arial" w:eastAsia="Times New Roman" w:cs="Arial"/>
        </w:rPr>
      </w:pPr>
      <w:r w:rsidRPr="1BEEE9CA">
        <w:rPr>
          <w:rFonts w:ascii="Arial" w:hAnsi="Arial" w:eastAsia="Times New Roman" w:cs="Arial"/>
        </w:rPr>
        <w:t xml:space="preserve">Multi-family dwellings: </w:t>
      </w:r>
    </w:p>
    <w:p w:rsidR="5431ADFA" w:rsidP="5431ADFA" w:rsidRDefault="5431ADFA" w14:paraId="2182372F" w14:textId="017F1CB6">
      <w:pPr>
        <w:pStyle w:val="ListParagraph"/>
        <w:numPr>
          <w:ilvl w:val="1"/>
          <w:numId w:val="28"/>
        </w:numPr>
        <w:spacing w:after="0" w:line="240" w:lineRule="auto"/>
        <w:rPr>
          <w:rFonts w:ascii="Arial" w:hAnsi="Arial" w:eastAsia="Arial" w:cs="Arial"/>
        </w:rPr>
      </w:pPr>
      <w:r w:rsidRPr="5431ADFA">
        <w:rPr>
          <w:rFonts w:ascii="Arial" w:hAnsi="Arial" w:eastAsia="Times New Roman" w:cs="Arial"/>
        </w:rPr>
        <w:t xml:space="preserve">5% must be Level 2 EV Charging Stations </w:t>
      </w:r>
    </w:p>
    <w:p w:rsidRPr="008E3950" w:rsidR="008E3950" w:rsidP="1BEEE9CA" w:rsidRDefault="5431ADFA" w14:paraId="26FBA059" w14:textId="620E591F">
      <w:pPr>
        <w:pStyle w:val="ListParagraph"/>
        <w:numPr>
          <w:ilvl w:val="1"/>
          <w:numId w:val="28"/>
        </w:numPr>
        <w:autoSpaceDE w:val="0"/>
        <w:autoSpaceDN w:val="0"/>
        <w:adjustRightInd w:val="0"/>
        <w:spacing w:after="0" w:line="240" w:lineRule="auto"/>
      </w:pPr>
      <w:r w:rsidRPr="5431ADFA">
        <w:rPr>
          <w:rFonts w:ascii="Arial" w:hAnsi="Arial" w:eastAsia="Times New Roman" w:cs="Arial"/>
        </w:rPr>
        <w:t>25% must be Low Power Level 2 EV Ready, and</w:t>
      </w:r>
    </w:p>
    <w:p w:rsidR="5431ADFA" w:rsidP="5431ADFA" w:rsidRDefault="5431ADFA" w14:paraId="6B9FD8C5" w14:textId="55E7F08C">
      <w:pPr>
        <w:pStyle w:val="ListParagraph"/>
        <w:numPr>
          <w:ilvl w:val="1"/>
          <w:numId w:val="28"/>
        </w:numPr>
        <w:spacing w:after="0" w:line="240" w:lineRule="auto"/>
        <w:rPr>
          <w:rFonts w:cs="Calibri"/>
        </w:rPr>
      </w:pPr>
      <w:r w:rsidRPr="5431ADFA">
        <w:rPr>
          <w:rFonts w:ascii="Arial" w:hAnsi="Arial" w:eastAsia="Times New Roman" w:cs="Arial"/>
        </w:rPr>
        <w:t>10% of parking spaces must be Level 2 EV Capable.</w:t>
      </w:r>
    </w:p>
    <w:p w:rsidR="008E3950" w:rsidP="008E3950" w:rsidRDefault="1BEEE9CA" w14:paraId="12B73857" w14:textId="3D0649E8">
      <w:pPr>
        <w:pStyle w:val="ListParagraph"/>
        <w:numPr>
          <w:ilvl w:val="0"/>
          <w:numId w:val="28"/>
        </w:numPr>
        <w:autoSpaceDE w:val="0"/>
        <w:autoSpaceDN w:val="0"/>
        <w:adjustRightInd w:val="0"/>
        <w:spacing w:after="0" w:line="240" w:lineRule="auto"/>
        <w:rPr>
          <w:rFonts w:ascii="Arial" w:hAnsi="Arial" w:eastAsia="Times New Roman" w:cs="Arial"/>
        </w:rPr>
      </w:pPr>
      <w:r w:rsidRPr="1BEEE9CA">
        <w:rPr>
          <w:rFonts w:ascii="Arial" w:hAnsi="Arial" w:eastAsia="Times New Roman" w:cs="Arial"/>
        </w:rPr>
        <w:t xml:space="preserve">Non-residential: </w:t>
      </w:r>
    </w:p>
    <w:p w:rsidR="008E3950" w:rsidP="5431ADFA" w:rsidRDefault="5431ADFA" w14:paraId="625CBC0C" w14:textId="4987818E">
      <w:pPr>
        <w:pStyle w:val="ListParagraph"/>
        <w:numPr>
          <w:ilvl w:val="1"/>
          <w:numId w:val="28"/>
        </w:numPr>
        <w:autoSpaceDE w:val="0"/>
        <w:autoSpaceDN w:val="0"/>
        <w:adjustRightInd w:val="0"/>
        <w:spacing w:after="0" w:line="240" w:lineRule="auto"/>
        <w:rPr>
          <w:rFonts w:ascii="Arial" w:hAnsi="Arial" w:eastAsia="Arial" w:cs="Arial"/>
        </w:rPr>
      </w:pPr>
      <w:r w:rsidRPr="5431ADFA">
        <w:rPr>
          <w:rFonts w:ascii="Arial" w:hAnsi="Arial" w:eastAsia="Times New Roman" w:cs="Arial"/>
        </w:rPr>
        <w:t xml:space="preserve">5% must have Level 2 EV Charging Stations, and </w:t>
      </w:r>
    </w:p>
    <w:p w:rsidR="5431ADFA" w:rsidP="5431ADFA" w:rsidRDefault="5431ADFA" w14:paraId="3AA41065" w14:textId="1430A69B">
      <w:pPr>
        <w:pStyle w:val="ListParagraph"/>
        <w:numPr>
          <w:ilvl w:val="1"/>
          <w:numId w:val="28"/>
        </w:numPr>
        <w:spacing w:after="0" w:line="240" w:lineRule="auto"/>
        <w:rPr>
          <w:rFonts w:cs="Calibri"/>
        </w:rPr>
      </w:pPr>
      <w:r w:rsidRPr="5431ADFA">
        <w:rPr>
          <w:rFonts w:ascii="Arial" w:hAnsi="Arial" w:eastAsia="Times New Roman" w:cs="Arial"/>
        </w:rPr>
        <w:t>15% of parking spaces must be Level 2 EV Capable.</w:t>
      </w:r>
    </w:p>
    <w:p w:rsidR="007358B5" w:rsidP="007358B5" w:rsidRDefault="007358B5" w14:paraId="14C63B42" w14:textId="4EAF1F6C">
      <w:pPr>
        <w:autoSpaceDE w:val="0"/>
        <w:autoSpaceDN w:val="0"/>
        <w:adjustRightInd w:val="0"/>
        <w:rPr>
          <w:rFonts w:ascii="Arial" w:hAnsi="Arial" w:cs="Arial"/>
        </w:rPr>
      </w:pPr>
    </w:p>
    <w:p w:rsidRPr="008E3950" w:rsidR="008E3950" w:rsidP="008E3950" w:rsidRDefault="008E3950" w14:paraId="5BB2EDDE" w14:textId="77777777">
      <w:pPr>
        <w:autoSpaceDE w:val="0"/>
        <w:autoSpaceDN w:val="0"/>
        <w:adjustRightInd w:val="0"/>
        <w:rPr>
          <w:rFonts w:ascii="Arial" w:hAnsi="Arial" w:cs="Arial"/>
          <w:b/>
          <w:bCs/>
          <w:color w:val="000000"/>
          <w:sz w:val="22"/>
          <w:szCs w:val="22"/>
        </w:rPr>
      </w:pPr>
    </w:p>
    <w:p w:rsidRPr="008E3950" w:rsidR="008E3950" w:rsidP="008E3950" w:rsidRDefault="008E3950" w14:paraId="7A5C3B9B" w14:textId="77777777">
      <w:pPr>
        <w:autoSpaceDE w:val="0"/>
        <w:autoSpaceDN w:val="0"/>
        <w:adjustRightInd w:val="0"/>
        <w:rPr>
          <w:rFonts w:ascii="Arial" w:hAnsi="Arial" w:cs="Arial"/>
          <w:b/>
          <w:bCs/>
          <w:color w:val="000000"/>
          <w:sz w:val="22"/>
          <w:szCs w:val="22"/>
        </w:rPr>
      </w:pPr>
      <w:r w:rsidRPr="008E3950">
        <w:rPr>
          <w:rFonts w:ascii="Arial" w:hAnsi="Arial" w:cs="Arial"/>
          <w:b/>
          <w:bCs/>
          <w:color w:val="000000"/>
          <w:sz w:val="22"/>
          <w:szCs w:val="22"/>
        </w:rPr>
        <w:t>DISCUSSION</w:t>
      </w:r>
    </w:p>
    <w:p w:rsidRPr="008E3950" w:rsidR="008E3950" w:rsidP="008E3950" w:rsidRDefault="008E3950" w14:paraId="3F67A0F8" w14:textId="77777777">
      <w:pPr>
        <w:shd w:val="clear" w:color="auto" w:fill="FFFFFF"/>
        <w:rPr>
          <w:rFonts w:ascii="Arial" w:hAnsi="Arial" w:cs="Arial"/>
          <w:b/>
          <w:sz w:val="22"/>
          <w:szCs w:val="22"/>
        </w:rPr>
      </w:pPr>
    </w:p>
    <w:p w:rsidRPr="008E3950" w:rsidR="008E3950" w:rsidP="008E3950" w:rsidRDefault="008E3950" w14:paraId="05972715" w14:textId="77777777">
      <w:pPr>
        <w:shd w:val="clear" w:color="auto" w:fill="FFFFFF"/>
        <w:rPr>
          <w:rFonts w:ascii="Arial" w:hAnsi="Arial" w:cs="Arial"/>
          <w:b/>
          <w:sz w:val="22"/>
          <w:szCs w:val="22"/>
        </w:rPr>
      </w:pPr>
      <w:r w:rsidRPr="008E3950">
        <w:rPr>
          <w:rFonts w:ascii="Arial" w:hAnsi="Arial" w:cs="Arial"/>
          <w:b/>
          <w:sz w:val="22"/>
          <w:szCs w:val="22"/>
        </w:rPr>
        <w:t>Building Appliance Electrification</w:t>
      </w:r>
    </w:p>
    <w:p w:rsidR="00710518" w:rsidP="005042F0" w:rsidRDefault="001A5CC0" w14:paraId="63B38AEB" w14:textId="77777777">
      <w:pPr>
        <w:rPr>
          <w:rFonts w:ascii="Arial" w:hAnsi="Arial" w:eastAsia="Arial" w:cs="Arial"/>
          <w:sz w:val="22"/>
          <w:szCs w:val="22"/>
        </w:rPr>
      </w:pPr>
      <w:r w:rsidRPr="0022269D">
        <w:rPr>
          <w:rFonts w:ascii="Arial" w:hAnsi="Arial" w:eastAsia="Arial" w:cs="Arial"/>
          <w:sz w:val="22"/>
          <w:szCs w:val="22"/>
        </w:rPr>
        <w:t>Each option for</w:t>
      </w:r>
      <w:r w:rsidRPr="0022269D" w:rsidR="00D04405">
        <w:rPr>
          <w:rFonts w:ascii="Arial" w:hAnsi="Arial" w:eastAsia="Arial" w:cs="Arial"/>
          <w:sz w:val="22"/>
          <w:szCs w:val="22"/>
        </w:rPr>
        <w:t xml:space="preserve"> building electrification ha</w:t>
      </w:r>
      <w:r w:rsidRPr="0022269D">
        <w:rPr>
          <w:rFonts w:ascii="Arial" w:hAnsi="Arial" w:eastAsia="Arial" w:cs="Arial"/>
          <w:sz w:val="22"/>
          <w:szCs w:val="22"/>
        </w:rPr>
        <w:t>s</w:t>
      </w:r>
      <w:r w:rsidRPr="0022269D" w:rsidR="00D04405">
        <w:rPr>
          <w:rFonts w:ascii="Arial" w:hAnsi="Arial" w:eastAsia="Arial" w:cs="Arial"/>
          <w:sz w:val="22"/>
          <w:szCs w:val="22"/>
        </w:rPr>
        <w:t xml:space="preserve"> unique benefits and demerits. </w:t>
      </w:r>
    </w:p>
    <w:p w:rsidR="00710518" w:rsidP="005042F0" w:rsidRDefault="00710518" w14:paraId="6D3FFE5E" w14:textId="77777777">
      <w:pPr>
        <w:rPr>
          <w:rFonts w:ascii="Arial" w:hAnsi="Arial" w:eastAsia="Arial" w:cs="Arial"/>
          <w:sz w:val="22"/>
          <w:szCs w:val="22"/>
        </w:rPr>
      </w:pPr>
    </w:p>
    <w:p w:rsidRPr="00710518" w:rsidR="00710518" w:rsidP="005042F0" w:rsidRDefault="103354F8" w14:paraId="3FE259DE" w14:textId="558553CD">
      <w:pPr>
        <w:rPr>
          <w:rFonts w:ascii="Arial" w:hAnsi="Arial" w:eastAsia="Arial" w:cs="Arial"/>
          <w:sz w:val="22"/>
          <w:szCs w:val="22"/>
          <w:u w:val="single"/>
        </w:rPr>
      </w:pPr>
      <w:r w:rsidRPr="103354F8">
        <w:rPr>
          <w:rFonts w:ascii="Arial" w:hAnsi="Arial" w:eastAsia="Arial" w:cs="Arial"/>
          <w:sz w:val="22"/>
          <w:szCs w:val="22"/>
          <w:u w:val="single"/>
        </w:rPr>
        <w:t>All-Electric Municipal Ordinance</w:t>
      </w:r>
    </w:p>
    <w:p w:rsidRPr="0022269D" w:rsidR="0082086D" w:rsidP="005042F0" w:rsidRDefault="00CC080E" w14:paraId="769E8BF1" w14:textId="79048471">
      <w:pPr>
        <w:rPr>
          <w:rFonts w:ascii="Arial" w:hAnsi="Arial" w:eastAsia="Arial" w:cs="Arial"/>
          <w:sz w:val="22"/>
          <w:szCs w:val="22"/>
        </w:rPr>
      </w:pPr>
      <w:r>
        <w:rPr>
          <w:rFonts w:ascii="Arial" w:hAnsi="Arial" w:eastAsia="Arial" w:cs="Arial"/>
          <w:sz w:val="22"/>
          <w:szCs w:val="22"/>
        </w:rPr>
        <w:t>Santa Cruz</w:t>
      </w:r>
      <w:r w:rsidR="009850D8">
        <w:rPr>
          <w:rFonts w:ascii="Arial" w:hAnsi="Arial" w:eastAsia="Arial" w:cs="Arial"/>
          <w:sz w:val="22"/>
          <w:szCs w:val="22"/>
        </w:rPr>
        <w:t xml:space="preserve"> and </w:t>
      </w:r>
      <w:r w:rsidRPr="714D9301" w:rsidR="55992BC4">
        <w:rPr>
          <w:rFonts w:ascii="Arial" w:hAnsi="Arial" w:eastAsia="Arial" w:cs="Arial"/>
          <w:sz w:val="22"/>
          <w:szCs w:val="22"/>
        </w:rPr>
        <w:t>San Luis Obispo</w:t>
      </w:r>
      <w:r w:rsidRPr="714D9301" w:rsidR="6960C1B7">
        <w:rPr>
          <w:rFonts w:ascii="Arial" w:hAnsi="Arial" w:eastAsia="Arial" w:cs="Arial"/>
          <w:sz w:val="22"/>
          <w:szCs w:val="22"/>
        </w:rPr>
        <w:t xml:space="preserve"> have adopted all-electric municipal ordinances (also referred to as gas prohibitions), that are more aggressive than the all-electric and electric-preferred model reach codes. These ordinances eliminate the installation of gas infrastructure at the property with limited exceptions, and thus guarantee significant decreases in greenhouse gas emissions.</w:t>
      </w:r>
    </w:p>
    <w:p w:rsidR="0082086D" w:rsidP="005042F0" w:rsidRDefault="0082086D" w14:paraId="26F9D170" w14:textId="155FA02F">
      <w:pPr>
        <w:rPr>
          <w:rFonts w:ascii="Arial" w:hAnsi="Arial" w:eastAsia="Arial" w:cs="Arial"/>
          <w:sz w:val="22"/>
          <w:szCs w:val="22"/>
        </w:rPr>
      </w:pPr>
    </w:p>
    <w:p w:rsidRPr="00710518" w:rsidR="00710518" w:rsidP="00710518" w:rsidRDefault="103354F8" w14:paraId="20381E96" w14:textId="2C60BDD5">
      <w:pPr>
        <w:rPr>
          <w:rFonts w:ascii="Arial" w:hAnsi="Arial" w:eastAsia="Arial" w:cs="Arial"/>
          <w:sz w:val="22"/>
          <w:szCs w:val="22"/>
          <w:u w:val="single"/>
        </w:rPr>
      </w:pPr>
      <w:r w:rsidRPr="103354F8">
        <w:rPr>
          <w:rFonts w:ascii="Arial" w:hAnsi="Arial" w:eastAsia="Arial" w:cs="Arial"/>
          <w:sz w:val="22"/>
          <w:szCs w:val="22"/>
          <w:u w:val="single"/>
        </w:rPr>
        <w:t>All-Electric Required Building Code Amendment</w:t>
      </w:r>
    </w:p>
    <w:p w:rsidRPr="0022269D" w:rsidR="0065673B" w:rsidP="103354F8" w:rsidRDefault="5431ADFA" w14:paraId="6042EA29" w14:textId="0970AB09">
      <w:pPr>
        <w:rPr>
          <w:rFonts w:ascii="Arial" w:hAnsi="Arial" w:eastAsia="Arial" w:cs="Arial"/>
          <w:sz w:val="22"/>
          <w:szCs w:val="22"/>
        </w:rPr>
      </w:pPr>
      <w:r w:rsidRPr="5431ADFA">
        <w:rPr>
          <w:rFonts w:ascii="Arial" w:hAnsi="Arial" w:eastAsia="Arial" w:cs="Arial"/>
          <w:sz w:val="22"/>
          <w:szCs w:val="22"/>
        </w:rPr>
        <w:t>The all-electric required model requires specific end-uses to install electric appliances, including space heating, water heating, clothes-drying, and cooking, with limited exceptions. Efficiency or solar PV measures may be added to improve on-bill savings.</w:t>
      </w:r>
    </w:p>
    <w:p w:rsidRPr="0022269D" w:rsidR="0065673B" w:rsidP="005042F0" w:rsidRDefault="0065673B" w14:paraId="57115B4F" w14:textId="77777777">
      <w:pPr>
        <w:rPr>
          <w:rFonts w:ascii="Arial" w:hAnsi="Arial" w:eastAsia="Arial" w:cs="Arial"/>
          <w:sz w:val="22"/>
          <w:szCs w:val="22"/>
        </w:rPr>
      </w:pPr>
    </w:p>
    <w:p w:rsidRPr="00710518" w:rsidR="00710518" w:rsidP="00710518" w:rsidRDefault="103354F8" w14:paraId="07C1DD1E" w14:textId="4B677D3C">
      <w:pPr>
        <w:rPr>
          <w:rFonts w:ascii="Arial" w:hAnsi="Arial" w:eastAsia="Arial" w:cs="Arial"/>
          <w:sz w:val="22"/>
          <w:szCs w:val="22"/>
          <w:u w:val="single"/>
        </w:rPr>
      </w:pPr>
      <w:r w:rsidRPr="103354F8">
        <w:rPr>
          <w:rFonts w:ascii="Arial" w:hAnsi="Arial" w:eastAsia="Arial" w:cs="Arial"/>
          <w:sz w:val="22"/>
          <w:szCs w:val="22"/>
          <w:u w:val="single"/>
        </w:rPr>
        <w:t>All-Electric Preferred Building Code Amendment</w:t>
      </w:r>
    </w:p>
    <w:p w:rsidRPr="0022269D" w:rsidR="001A5CC0" w:rsidP="005042F0" w:rsidRDefault="103354F8" w14:paraId="3C7E8A55" w14:textId="3AEA5EB0">
      <w:pPr>
        <w:rPr>
          <w:rFonts w:ascii="Arial" w:hAnsi="Arial" w:eastAsia="Arial" w:cs="Arial"/>
          <w:sz w:val="22"/>
          <w:szCs w:val="22"/>
        </w:rPr>
      </w:pPr>
      <w:r w:rsidRPr="103354F8">
        <w:rPr>
          <w:rFonts w:ascii="Arial" w:hAnsi="Arial" w:eastAsia="Arial" w:cs="Arial"/>
          <w:sz w:val="22"/>
          <w:szCs w:val="22"/>
        </w:rPr>
        <w:t>The all-electric preferred approach encourages electrification by giving builders two options:</w:t>
      </w:r>
    </w:p>
    <w:p w:rsidRPr="0022269D" w:rsidR="001A5CC0" w:rsidP="103354F8" w:rsidRDefault="103354F8" w14:paraId="233AF22B" w14:textId="3B1585D6">
      <w:pPr>
        <w:pStyle w:val="ListParagraph"/>
        <w:numPr>
          <w:ilvl w:val="0"/>
          <w:numId w:val="2"/>
        </w:numPr>
        <w:rPr>
          <w:rFonts w:ascii="Arial" w:hAnsi="Arial" w:eastAsia="Arial" w:cs="Arial"/>
          <w:sz w:val="24"/>
          <w:szCs w:val="24"/>
        </w:rPr>
      </w:pPr>
      <w:r w:rsidRPr="103354F8">
        <w:rPr>
          <w:rFonts w:ascii="Arial" w:hAnsi="Arial" w:eastAsia="Arial" w:cs="Arial"/>
        </w:rPr>
        <w:t>Achieving a higher energy efficiency level than the Energy Code using mixed fuels (</w:t>
      </w:r>
      <w:r w:rsidR="007579B2">
        <w:rPr>
          <w:rFonts w:ascii="Arial" w:hAnsi="Arial" w:eastAsia="Arial" w:cs="Arial"/>
        </w:rPr>
        <w:t>fuel</w:t>
      </w:r>
      <w:r w:rsidRPr="103354F8">
        <w:rPr>
          <w:rFonts w:ascii="Arial" w:hAnsi="Arial" w:eastAsia="Arial" w:cs="Arial"/>
        </w:rPr>
        <w:t xml:space="preserve"> gas and electricity); or </w:t>
      </w:r>
    </w:p>
    <w:p w:rsidRPr="0022269D" w:rsidR="00E8394F" w:rsidP="103354F8" w:rsidRDefault="103354F8" w14:paraId="177AAEAC" w14:textId="2E293BF1">
      <w:pPr>
        <w:pStyle w:val="ListParagraph"/>
        <w:numPr>
          <w:ilvl w:val="0"/>
          <w:numId w:val="2"/>
        </w:numPr>
        <w:rPr>
          <w:rFonts w:ascii="Arial" w:hAnsi="Arial" w:eastAsia="Arial" w:cs="Arial"/>
        </w:rPr>
      </w:pPr>
      <w:r w:rsidRPr="103354F8">
        <w:rPr>
          <w:rFonts w:ascii="Arial" w:hAnsi="Arial" w:eastAsia="Arial" w:cs="Arial"/>
        </w:rPr>
        <w:t>Building an all-electric building at the minimum efficiency as required in the Energy Code.</w:t>
      </w:r>
    </w:p>
    <w:p w:rsidRPr="0022269D" w:rsidR="00BA718F" w:rsidP="103354F8" w:rsidRDefault="5431ADFA" w14:paraId="716D57A9" w14:textId="12F1523B">
      <w:pPr>
        <w:rPr>
          <w:rFonts w:ascii="Arial" w:hAnsi="Arial" w:eastAsia="Arial" w:cs="Arial"/>
          <w:sz w:val="22"/>
          <w:szCs w:val="22"/>
        </w:rPr>
      </w:pPr>
      <w:r w:rsidRPr="7E1A090B">
        <w:rPr>
          <w:rFonts w:ascii="Arial" w:hAnsi="Arial" w:eastAsia="Arial" w:cs="Arial"/>
          <w:sz w:val="22"/>
          <w:szCs w:val="22"/>
        </w:rPr>
        <w:t>The all-electric preferred model is NOT recommended by</w:t>
      </w:r>
      <w:r w:rsidRPr="7E1A090B" w:rsidR="5BFFC228">
        <w:rPr>
          <w:rFonts w:ascii="Arial" w:hAnsi="Arial" w:eastAsia="Arial" w:cs="Arial"/>
          <w:sz w:val="22"/>
          <w:szCs w:val="22"/>
        </w:rPr>
        <w:t xml:space="preserve"> Central Coast Community Energy</w:t>
      </w:r>
      <w:r w:rsidRPr="7E1A090B" w:rsidR="44A1DC78">
        <w:rPr>
          <w:rFonts w:ascii="Arial" w:hAnsi="Arial" w:eastAsia="Arial" w:cs="Arial"/>
          <w:sz w:val="22"/>
          <w:szCs w:val="22"/>
        </w:rPr>
        <w:t xml:space="preserve"> (CCCE)</w:t>
      </w:r>
      <w:r w:rsidRPr="7E1A090B" w:rsidR="5BFFC228">
        <w:rPr>
          <w:rFonts w:ascii="Arial" w:hAnsi="Arial" w:eastAsia="Arial" w:cs="Arial"/>
          <w:sz w:val="22"/>
          <w:szCs w:val="22"/>
        </w:rPr>
        <w:t xml:space="preserve"> </w:t>
      </w:r>
      <w:r w:rsidRPr="7E1A090B">
        <w:rPr>
          <w:rFonts w:ascii="Arial" w:hAnsi="Arial" w:eastAsia="Arial" w:cs="Arial"/>
          <w:sz w:val="22"/>
          <w:szCs w:val="22"/>
        </w:rPr>
        <w:t>because the California Energy Code is already an electric-preferred model. There are limited incremental greenhouse gas emissions reduction that can be attained by pursuing this model, compared to the All-Electric Required Municipal Ordinance or All-Electric Required Building Code Amendment.</w:t>
      </w:r>
    </w:p>
    <w:p w:rsidRPr="0022269D" w:rsidR="00946DC9" w:rsidP="0065673B" w:rsidRDefault="00946DC9" w14:paraId="6204A6D1" w14:textId="67808168">
      <w:pPr>
        <w:rPr>
          <w:rFonts w:ascii="Arial" w:hAnsi="Arial" w:cs="Arial"/>
          <w:sz w:val="22"/>
          <w:szCs w:val="22"/>
        </w:rPr>
      </w:pPr>
    </w:p>
    <w:p w:rsidRPr="0022269D" w:rsidR="00946DC9" w:rsidP="0065673B" w:rsidRDefault="00196705" w14:paraId="47F158AF" w14:textId="4DC32E75">
      <w:pPr>
        <w:rPr>
          <w:rFonts w:ascii="Arial" w:hAnsi="Arial" w:cs="Arial"/>
          <w:sz w:val="22"/>
          <w:szCs w:val="22"/>
        </w:rPr>
      </w:pPr>
      <w:r w:rsidRPr="7E1A090B">
        <w:rPr>
          <w:rFonts w:ascii="Arial" w:hAnsi="Arial" w:cs="Arial"/>
          <w:sz w:val="22"/>
          <w:szCs w:val="22"/>
        </w:rPr>
        <w:t xml:space="preserve">Over </w:t>
      </w:r>
      <w:r w:rsidRPr="7E1A090B" w:rsidR="761A0906">
        <w:rPr>
          <w:rFonts w:ascii="Arial" w:hAnsi="Arial" w:cs="Arial"/>
          <w:sz w:val="22"/>
          <w:szCs w:val="22"/>
        </w:rPr>
        <w:t>70</w:t>
      </w:r>
      <w:r w:rsidRPr="7E1A090B">
        <w:rPr>
          <w:rFonts w:ascii="Arial" w:hAnsi="Arial" w:cs="Arial"/>
          <w:sz w:val="22"/>
          <w:szCs w:val="22"/>
        </w:rPr>
        <w:t xml:space="preserve"> California jurisdictions have adopted </w:t>
      </w:r>
      <w:r w:rsidRPr="7E1A090B" w:rsidR="00487668">
        <w:rPr>
          <w:rFonts w:ascii="Arial" w:hAnsi="Arial" w:cs="Arial"/>
          <w:sz w:val="22"/>
          <w:szCs w:val="22"/>
        </w:rPr>
        <w:t xml:space="preserve">a building or EV infrastructure reach code. Please visit </w:t>
      </w:r>
      <w:hyperlink r:id="rId26">
        <w:r w:rsidRPr="7E1A090B" w:rsidR="00487668">
          <w:rPr>
            <w:rStyle w:val="Hyperlink"/>
            <w:rFonts w:ascii="Arial" w:hAnsi="Arial" w:cs="Arial"/>
            <w:sz w:val="22"/>
            <w:szCs w:val="22"/>
          </w:rPr>
          <w:t>localenergycodes.com</w:t>
        </w:r>
      </w:hyperlink>
      <w:r w:rsidRPr="7E1A090B" w:rsidR="00487668">
        <w:rPr>
          <w:rFonts w:ascii="Arial" w:hAnsi="Arial" w:cs="Arial"/>
          <w:sz w:val="22"/>
          <w:szCs w:val="22"/>
        </w:rPr>
        <w:t xml:space="preserve"> for a detailed list of </w:t>
      </w:r>
      <w:r w:rsidRPr="7E1A090B" w:rsidR="00563D1C">
        <w:rPr>
          <w:rFonts w:ascii="Arial" w:hAnsi="Arial" w:cs="Arial"/>
          <w:sz w:val="22"/>
          <w:szCs w:val="22"/>
        </w:rPr>
        <w:t xml:space="preserve">these ordinances. </w:t>
      </w:r>
    </w:p>
    <w:p w:rsidR="0060245D" w:rsidP="008E3950" w:rsidRDefault="0060245D" w14:paraId="13F0F4DF" w14:textId="77777777">
      <w:pPr>
        <w:shd w:val="clear" w:color="auto" w:fill="FFFFFF"/>
        <w:rPr>
          <w:rFonts w:ascii="Arial" w:hAnsi="Arial" w:cs="Arial"/>
        </w:rPr>
      </w:pPr>
    </w:p>
    <w:p w:rsidR="0060245D" w:rsidP="008E3950" w:rsidRDefault="0060245D" w14:paraId="6A4676FD" w14:textId="77777777">
      <w:pPr>
        <w:shd w:val="clear" w:color="auto" w:fill="FFFFFF"/>
        <w:rPr>
          <w:rFonts w:ascii="Arial" w:hAnsi="Arial" w:cs="Arial"/>
        </w:rPr>
      </w:pPr>
    </w:p>
    <w:p w:rsidR="0060245D" w:rsidP="008E3950" w:rsidRDefault="0060245D" w14:paraId="313D940B" w14:textId="10269E93">
      <w:pPr>
        <w:shd w:val="clear" w:color="auto" w:fill="FFFFFF"/>
        <w:rPr>
          <w:rFonts w:ascii="Arial" w:hAnsi="Arial" w:cs="Arial"/>
          <w:sz w:val="22"/>
          <w:szCs w:val="22"/>
        </w:rPr>
        <w:sectPr w:rsidR="0060245D" w:rsidSect="00776E9E">
          <w:type w:val="continuous"/>
          <w:pgSz w:w="12240" w:h="15840" w:code="1"/>
          <w:pgMar w:top="1440" w:right="1440" w:bottom="720" w:left="1440" w:header="0" w:footer="0" w:gutter="0"/>
          <w:cols w:space="720"/>
          <w:docGrid w:linePitch="360"/>
        </w:sectPr>
      </w:pPr>
    </w:p>
    <w:p w:rsidRPr="008E3950" w:rsidR="008E3950" w:rsidP="103354F8" w:rsidRDefault="103354F8" w14:paraId="04E4B757" w14:textId="7D37A306">
      <w:pPr>
        <w:shd w:val="clear" w:color="auto" w:fill="FFFFFF" w:themeFill="background1"/>
        <w:rPr>
          <w:rFonts w:ascii="Arial" w:hAnsi="Arial" w:cs="Arial"/>
          <w:b/>
          <w:bCs/>
          <w:sz w:val="22"/>
          <w:szCs w:val="22"/>
        </w:rPr>
      </w:pPr>
      <w:r w:rsidRPr="103354F8">
        <w:rPr>
          <w:rFonts w:ascii="Arial" w:hAnsi="Arial" w:cs="Arial"/>
          <w:b/>
          <w:bCs/>
          <w:sz w:val="22"/>
          <w:szCs w:val="22"/>
        </w:rPr>
        <w:lastRenderedPageBreak/>
        <w:t>Electric Vehicle Charging Infrastructure</w:t>
      </w:r>
    </w:p>
    <w:p w:rsidRPr="007E3A21" w:rsidR="00F85219" w:rsidP="00717A49" w:rsidRDefault="5431ADFA" w14:paraId="75300F3C" w14:textId="0452F446">
      <w:pPr>
        <w:pStyle w:val="ListParagraph"/>
        <w:spacing w:after="0"/>
        <w:ind w:left="0"/>
        <w:rPr>
          <w:rFonts w:eastAsia="Times New Roman"/>
        </w:rPr>
      </w:pPr>
      <w:r w:rsidRPr="5431ADFA">
        <w:rPr>
          <w:rFonts w:ascii="Arial" w:hAnsi="Arial" w:cs="Arial"/>
        </w:rPr>
        <w:t xml:space="preserve">Local residents are showing a significant interest in electric vehicles. </w:t>
      </w:r>
      <w:r w:rsidRPr="007E3A21" w:rsidR="00F85219">
        <w:rPr>
          <w:rFonts w:ascii="Arial" w:hAnsi="Arial" w:eastAsia="Times New Roman" w:cs="Arial"/>
        </w:rPr>
        <w:t>DMV data shows that from 2019 to 2021, EV sales</w:t>
      </w:r>
      <w:r w:rsidRPr="007E3A21" w:rsidR="007E3A21">
        <w:rPr>
          <w:rFonts w:ascii="Arial" w:hAnsi="Arial" w:eastAsia="Times New Roman" w:cs="Arial"/>
        </w:rPr>
        <w:t xml:space="preserve"> in CCCE service area</w:t>
      </w:r>
      <w:r w:rsidRPr="007E3A21" w:rsidR="00F85219">
        <w:rPr>
          <w:rFonts w:ascii="Arial" w:hAnsi="Arial" w:eastAsia="Times New Roman" w:cs="Arial"/>
        </w:rPr>
        <w:t xml:space="preserve"> increased 56% compared to 4% for vehicle sales overall. </w:t>
      </w:r>
      <w:r w:rsidR="008A3369">
        <w:rPr>
          <w:rFonts w:ascii="Arial" w:hAnsi="Arial" w:eastAsia="Times New Roman" w:cs="Arial"/>
        </w:rPr>
        <w:t>In addition, e</w:t>
      </w:r>
      <w:r w:rsidRPr="007E3A21" w:rsidR="00F85219">
        <w:rPr>
          <w:rFonts w:ascii="Arial" w:hAnsi="Arial" w:eastAsia="Times New Roman" w:cs="Arial"/>
        </w:rPr>
        <w:t xml:space="preserve">very major automaker has announced major expansions of EVs (ex: General Motors: 20 new electric vehicles by 2023; Volkswagen: 50 fully electric models by 2025; Ford: 40 electrified models by the end of 2022). Global purchases of vehicles should be over 50% EV by 2040, but in </w:t>
      </w:r>
      <w:hyperlink w:anchor=":~:text=By%20setting%20a%20course%20to,to%20carbon%20neutrality%20by%202045." r:id="rId27">
        <w:r w:rsidRPr="007E3A21" w:rsidR="00F85219">
          <w:rPr>
            <w:rStyle w:val="Hyperlink"/>
            <w:rFonts w:ascii="Arial" w:hAnsi="Arial" w:eastAsia="Times New Roman" w:cs="Arial"/>
          </w:rPr>
          <w:t>California it will be much faster</w:t>
        </w:r>
      </w:hyperlink>
      <w:r w:rsidRPr="007E3A21" w:rsidR="00F85219">
        <w:rPr>
          <w:rFonts w:ascii="Arial" w:hAnsi="Arial" w:eastAsia="Times New Roman" w:cs="Arial"/>
        </w:rPr>
        <w:t xml:space="preserve">.  </w:t>
      </w:r>
    </w:p>
    <w:p w:rsidRPr="008E3950" w:rsidR="008E3950" w:rsidP="103354F8" w:rsidRDefault="008E3950" w14:paraId="0BF8A1FD" w14:textId="4FC55679">
      <w:pPr>
        <w:shd w:val="clear" w:color="auto" w:fill="FFFFFF" w:themeFill="background1"/>
        <w:rPr>
          <w:rFonts w:ascii="Arial" w:hAnsi="Arial" w:cs="Arial"/>
          <w:sz w:val="22"/>
          <w:szCs w:val="22"/>
        </w:rPr>
      </w:pPr>
    </w:p>
    <w:p w:rsidRPr="008E3950" w:rsidR="008E3950" w:rsidP="103354F8" w:rsidRDefault="008E3950" w14:paraId="5E0F9F22" w14:textId="606FD202">
      <w:pPr>
        <w:shd w:val="clear" w:color="auto" w:fill="FFFFFF" w:themeFill="background1"/>
        <w:rPr>
          <w:rFonts w:ascii="Arial" w:hAnsi="Arial" w:cs="Arial"/>
          <w:sz w:val="22"/>
          <w:szCs w:val="22"/>
        </w:rPr>
      </w:pPr>
    </w:p>
    <w:p w:rsidRPr="008E3950" w:rsidR="008E3950" w:rsidP="103354F8" w:rsidRDefault="103354F8" w14:paraId="297602A8" w14:textId="40FE7326">
      <w:pPr>
        <w:shd w:val="clear" w:color="auto" w:fill="FFFFFF" w:themeFill="background1"/>
        <w:rPr>
          <w:rFonts w:ascii="Arial" w:hAnsi="Arial" w:cs="Arial"/>
          <w:sz w:val="22"/>
          <w:szCs w:val="22"/>
        </w:rPr>
      </w:pPr>
      <w:r w:rsidRPr="103354F8">
        <w:rPr>
          <w:rFonts w:ascii="Arial" w:hAnsi="Arial" w:cs="Arial"/>
          <w:sz w:val="22"/>
          <w:szCs w:val="22"/>
        </w:rPr>
        <w:t xml:space="preserve">It is widely known that availability of EV charging infrastructure is a critical component to EV adoption. Meanwhile, it is significantly more expensive to install charging infrastructure as a retrofit than it is during new construction. As such, ensuring that newly constructed residential and non-residential parking has ample EV charging capability will reduce long-term retrofit costs of EV infrastructure installation, while helping to increase EV adoption and decrease transportation-related greenhouse gas emissions. </w:t>
      </w:r>
    </w:p>
    <w:p w:rsidRPr="008E3950" w:rsidR="008E3950" w:rsidP="103354F8" w:rsidRDefault="008E3950" w14:paraId="23042CFE" w14:textId="76D3EC62">
      <w:pPr>
        <w:shd w:val="clear" w:color="auto" w:fill="FFFFFF" w:themeFill="background1"/>
        <w:rPr>
          <w:rFonts w:ascii="Arial" w:hAnsi="Arial" w:cs="Arial"/>
          <w:sz w:val="22"/>
          <w:szCs w:val="22"/>
        </w:rPr>
      </w:pPr>
    </w:p>
    <w:p w:rsidRPr="008E3950" w:rsidR="008E3950" w:rsidP="103354F8" w:rsidRDefault="103354F8" w14:paraId="555A4112" w14:textId="7B78BD3B">
      <w:pPr>
        <w:shd w:val="clear" w:color="auto" w:fill="FFFFFF" w:themeFill="background1"/>
        <w:rPr>
          <w:rFonts w:ascii="Arial" w:hAnsi="Arial" w:cs="Arial"/>
          <w:sz w:val="22"/>
          <w:szCs w:val="22"/>
        </w:rPr>
      </w:pPr>
      <w:r w:rsidRPr="103354F8">
        <w:rPr>
          <w:rFonts w:ascii="Arial" w:hAnsi="Arial" w:cs="Arial"/>
          <w:sz w:val="22"/>
          <w:szCs w:val="22"/>
        </w:rPr>
        <w:t>While California’s new minimum requirements are a step forward, it is unlikely that the requirements for multi-family dwellings and non-residential buildings are enough to keep pace with expected EV growth looking towards 2030. The Statewide Program’s team reviewed approaches to increase the amount of EV infrastructure in new construction buildings, while keeping construction costs as low as possible.</w:t>
      </w:r>
    </w:p>
    <w:p w:rsidRPr="008E3950" w:rsidR="008E3950" w:rsidP="008E3950" w:rsidRDefault="008E3950" w14:paraId="027F3FC9" w14:textId="77777777">
      <w:pPr>
        <w:shd w:val="clear" w:color="auto" w:fill="FFFFFF"/>
        <w:rPr>
          <w:rFonts w:ascii="Arial" w:hAnsi="Arial" w:cs="Arial"/>
          <w:sz w:val="22"/>
          <w:szCs w:val="22"/>
        </w:rPr>
      </w:pPr>
    </w:p>
    <w:p w:rsidRPr="008E3950" w:rsidR="008E3950" w:rsidP="008E3950" w:rsidRDefault="008E3950" w14:paraId="66BEB93D" w14:textId="77777777">
      <w:pPr>
        <w:shd w:val="clear" w:color="auto" w:fill="FFFFFF"/>
        <w:rPr>
          <w:rFonts w:ascii="Arial" w:hAnsi="Arial" w:cs="Arial"/>
          <w:b/>
          <w:sz w:val="22"/>
          <w:szCs w:val="22"/>
        </w:rPr>
      </w:pPr>
      <w:r w:rsidRPr="008E3950">
        <w:rPr>
          <w:rFonts w:ascii="Arial" w:hAnsi="Arial" w:cs="Arial"/>
          <w:b/>
          <w:sz w:val="22"/>
          <w:szCs w:val="22"/>
        </w:rPr>
        <w:t>FINDINGS</w:t>
      </w:r>
    </w:p>
    <w:p w:rsidRPr="008E3950" w:rsidR="008E3950" w:rsidP="008E3950" w:rsidRDefault="008E3950" w14:paraId="3DD55458" w14:textId="77777777">
      <w:pPr>
        <w:shd w:val="clear" w:color="auto" w:fill="FFFFFF"/>
        <w:rPr>
          <w:rFonts w:ascii="Arial" w:hAnsi="Arial" w:cs="Arial"/>
          <w:b/>
          <w:sz w:val="22"/>
          <w:szCs w:val="22"/>
        </w:rPr>
      </w:pPr>
      <w:r w:rsidRPr="008E3950">
        <w:rPr>
          <w:rFonts w:ascii="Arial" w:hAnsi="Arial" w:cs="Arial"/>
          <w:b/>
          <w:sz w:val="22"/>
          <w:szCs w:val="22"/>
        </w:rPr>
        <w:t>Building Appliance Electrification Reach Codes:</w:t>
      </w:r>
    </w:p>
    <w:p w:rsidRPr="008E3950" w:rsidR="008E3950" w:rsidP="103354F8" w:rsidRDefault="1BEEE9CA" w14:paraId="687A2F35" w14:textId="7B28E059">
      <w:pPr>
        <w:shd w:val="clear" w:color="auto" w:fill="FFFFFF" w:themeFill="background1"/>
        <w:rPr>
          <w:rFonts w:ascii="Arial" w:hAnsi="Arial" w:cs="Arial"/>
          <w:sz w:val="22"/>
          <w:szCs w:val="22"/>
        </w:rPr>
      </w:pPr>
      <w:r w:rsidRPr="1BEEE9CA">
        <w:rPr>
          <w:rFonts w:ascii="Arial" w:hAnsi="Arial" w:cs="Arial"/>
          <w:sz w:val="22"/>
          <w:szCs w:val="22"/>
        </w:rPr>
        <w:t xml:space="preserve">Staff have worked closely with </w:t>
      </w:r>
      <w:r w:rsidR="005A6FF7">
        <w:rPr>
          <w:rFonts w:ascii="Arial" w:hAnsi="Arial" w:cs="Arial"/>
          <w:sz w:val="22"/>
          <w:szCs w:val="22"/>
        </w:rPr>
        <w:t>CCCE’s</w:t>
      </w:r>
      <w:r w:rsidRPr="1BEEE9CA">
        <w:rPr>
          <w:rFonts w:ascii="Arial" w:hAnsi="Arial" w:cs="Arial"/>
          <w:sz w:val="22"/>
          <w:szCs w:val="22"/>
        </w:rPr>
        <w:t xml:space="preserve"> consultants to interpret the Statewide Program study’s results, and to infer what options may or may not be cost-effective for the building types that are prevalent in </w:t>
      </w:r>
      <w:r w:rsidRPr="1BEEE9CA">
        <w:rPr>
          <w:rFonts w:ascii="Arial" w:hAnsi="Arial" w:cs="Arial"/>
          <w:sz w:val="22"/>
          <w:szCs w:val="22"/>
          <w:highlight w:val="lightGray"/>
        </w:rPr>
        <w:t>&lt;City/Town Name&gt;</w:t>
      </w:r>
      <w:r w:rsidRPr="1BEEE9CA">
        <w:rPr>
          <w:rFonts w:ascii="Arial" w:hAnsi="Arial" w:cs="Arial"/>
          <w:sz w:val="22"/>
          <w:szCs w:val="22"/>
        </w:rPr>
        <w:t xml:space="preserve"> but were not analyzed by the team. </w:t>
      </w:r>
      <w:r w:rsidR="005A6FF7">
        <w:rPr>
          <w:rFonts w:ascii="Arial" w:hAnsi="Arial" w:cs="Arial"/>
          <w:sz w:val="22"/>
          <w:szCs w:val="22"/>
        </w:rPr>
        <w:t>CCCE</w:t>
      </w:r>
      <w:r w:rsidRPr="1BEEE9CA">
        <w:rPr>
          <w:rFonts w:ascii="Arial" w:hAnsi="Arial" w:cs="Arial"/>
          <w:sz w:val="22"/>
          <w:szCs w:val="22"/>
        </w:rPr>
        <w:t xml:space="preserve"> ha</w:t>
      </w:r>
      <w:r w:rsidR="00E63651">
        <w:rPr>
          <w:rFonts w:ascii="Arial" w:hAnsi="Arial" w:cs="Arial"/>
          <w:sz w:val="22"/>
          <w:szCs w:val="22"/>
        </w:rPr>
        <w:t>s</w:t>
      </w:r>
      <w:r w:rsidRPr="1BEEE9CA">
        <w:rPr>
          <w:rFonts w:ascii="Arial" w:hAnsi="Arial" w:cs="Arial"/>
          <w:sz w:val="22"/>
          <w:szCs w:val="22"/>
        </w:rPr>
        <w:t xml:space="preserve"> also provided consultant support to assist cities in understanding the cost-effectiveness study results and adopting reach codes. </w:t>
      </w:r>
    </w:p>
    <w:p w:rsidRPr="008E3950" w:rsidR="008E3950" w:rsidP="103354F8" w:rsidRDefault="008E3950" w14:paraId="096AD762" w14:textId="61DC87D4">
      <w:pPr>
        <w:shd w:val="clear" w:color="auto" w:fill="FFFFFF" w:themeFill="background1"/>
        <w:rPr>
          <w:rFonts w:ascii="Arial" w:hAnsi="Arial" w:cs="Arial"/>
          <w:sz w:val="22"/>
          <w:szCs w:val="22"/>
        </w:rPr>
      </w:pPr>
    </w:p>
    <w:p w:rsidRPr="008E3950" w:rsidR="008E3950" w:rsidP="103354F8" w:rsidRDefault="5431ADFA" w14:paraId="3C119620" w14:textId="5CC35961">
      <w:pPr>
        <w:shd w:val="clear" w:color="auto" w:fill="FFFFFF" w:themeFill="background1"/>
        <w:rPr>
          <w:rFonts w:ascii="Arial" w:hAnsi="Arial" w:cs="Arial"/>
          <w:sz w:val="22"/>
          <w:szCs w:val="22"/>
        </w:rPr>
      </w:pPr>
      <w:r w:rsidRPr="5431ADFA">
        <w:rPr>
          <w:rFonts w:ascii="Arial" w:hAnsi="Arial" w:cs="Arial"/>
          <w:sz w:val="22"/>
          <w:szCs w:val="22"/>
        </w:rPr>
        <w:t xml:space="preserve">The proposed reach codes meet the requirements of the CEC for cost-effectiveness if </w:t>
      </w:r>
      <w:r w:rsidRPr="5431ADFA" w:rsidR="00E63651">
        <w:rPr>
          <w:rFonts w:ascii="Arial" w:hAnsi="Arial" w:cs="Arial"/>
          <w:sz w:val="22"/>
          <w:szCs w:val="22"/>
        </w:rPr>
        <w:t>needed and</w:t>
      </w:r>
      <w:r w:rsidRPr="5431ADFA">
        <w:rPr>
          <w:rFonts w:ascii="Arial" w:hAnsi="Arial" w:cs="Arial"/>
          <w:sz w:val="22"/>
          <w:szCs w:val="22"/>
        </w:rPr>
        <w:t xml:space="preserve"> are cost-effective over the lifetime of the building systems for new construction buildings within city limits. Notably, the results of the analysis show that all-electric buildings are typically less expensive to construct.</w:t>
      </w:r>
    </w:p>
    <w:p w:rsidRPr="008E3950" w:rsidR="008E3950" w:rsidP="008E3950" w:rsidRDefault="008E3950" w14:paraId="09B92185" w14:textId="77777777">
      <w:pPr>
        <w:shd w:val="clear" w:color="auto" w:fill="FFFFFF"/>
        <w:rPr>
          <w:rFonts w:ascii="Arial" w:hAnsi="Arial" w:cs="Arial"/>
          <w:sz w:val="22"/>
          <w:szCs w:val="22"/>
        </w:rPr>
      </w:pPr>
    </w:p>
    <w:p w:rsidRPr="008E3950" w:rsidR="008E3950" w:rsidP="103354F8" w:rsidRDefault="185DBA32" w14:paraId="33C94442" w14:textId="0D717A01">
      <w:pPr>
        <w:shd w:val="clear" w:color="auto" w:fill="FFFFFF" w:themeFill="background1"/>
        <w:rPr>
          <w:rFonts w:ascii="Arial" w:hAnsi="Arial" w:cs="Arial"/>
          <w:sz w:val="22"/>
          <w:szCs w:val="22"/>
        </w:rPr>
      </w:pPr>
      <w:r w:rsidRPr="185DBA32">
        <w:rPr>
          <w:rFonts w:ascii="Arial" w:hAnsi="Arial" w:cs="Arial"/>
          <w:sz w:val="22"/>
          <w:szCs w:val="22"/>
        </w:rPr>
        <w:t xml:space="preserve">The recommended reach code for newly constructed buildings is the All-Electric Required Building Code Amendment, which requires all newly constructed residential and non-residential buildings to be built all-electric. Buildings will have no </w:t>
      </w:r>
      <w:r w:rsidR="001167F3">
        <w:rPr>
          <w:rFonts w:ascii="Arial" w:hAnsi="Arial" w:cs="Arial"/>
          <w:sz w:val="22"/>
          <w:szCs w:val="22"/>
        </w:rPr>
        <w:t>fuel</w:t>
      </w:r>
      <w:r w:rsidRPr="185DBA32">
        <w:rPr>
          <w:rFonts w:ascii="Arial" w:hAnsi="Arial" w:cs="Arial"/>
          <w:sz w:val="22"/>
          <w:szCs w:val="22"/>
        </w:rPr>
        <w:t xml:space="preserve"> gas infrastructure installed, and electricity will be the sole source of energy for all space heating, water heating, cooking, and clothes drying appliances. Some limited exceptions may include:</w:t>
      </w:r>
    </w:p>
    <w:p w:rsidRPr="00DA141E" w:rsidR="00A77E57" w:rsidP="103354F8" w:rsidRDefault="103354F8" w14:paraId="123C1363" w14:textId="278A1DF9">
      <w:pPr>
        <w:pStyle w:val="ListParagraph"/>
        <w:numPr>
          <w:ilvl w:val="0"/>
          <w:numId w:val="32"/>
        </w:numPr>
        <w:shd w:val="clear" w:color="auto" w:fill="FFFFFF" w:themeFill="background1"/>
        <w:rPr>
          <w:rFonts w:ascii="Arial" w:hAnsi="Arial" w:eastAsia="Arial" w:cs="Arial"/>
          <w:highlight w:val="lightGray"/>
        </w:rPr>
      </w:pPr>
      <w:r w:rsidRPr="00DA141E">
        <w:rPr>
          <w:rFonts w:ascii="Arial" w:hAnsi="Arial" w:cs="Arial"/>
          <w:i/>
          <w:iCs/>
          <w:highlight w:val="lightGray"/>
        </w:rPr>
        <w:t>&lt;Only for cities that have not previously adopted a reach code:</w:t>
      </w:r>
      <w:r w:rsidRPr="00DA141E">
        <w:rPr>
          <w:rFonts w:ascii="Arial" w:hAnsi="Arial" w:cs="Arial"/>
          <w:highlight w:val="lightGray"/>
        </w:rPr>
        <w:t xml:space="preserve"> Multifamily residential building projects that have been granted entitlements within a year of the ordinance adoption.&gt;</w:t>
      </w:r>
    </w:p>
    <w:p w:rsidRPr="00764A41" w:rsidR="00764A41" w:rsidP="103354F8" w:rsidRDefault="103354F8" w14:paraId="39B528E6" w14:textId="72B21CA7">
      <w:pPr>
        <w:pStyle w:val="ListParagraph"/>
        <w:numPr>
          <w:ilvl w:val="0"/>
          <w:numId w:val="32"/>
        </w:numPr>
        <w:shd w:val="clear" w:color="auto" w:fill="FFFFFF" w:themeFill="background1"/>
        <w:rPr>
          <w:rFonts w:ascii="Arial" w:hAnsi="Arial" w:eastAsia="Arial" w:cs="Arial"/>
        </w:rPr>
      </w:pPr>
      <w:r w:rsidRPr="103354F8">
        <w:rPr>
          <w:rFonts w:ascii="Arial" w:hAnsi="Arial" w:cs="Arial"/>
        </w:rPr>
        <w:t>Commercial cooking equipment</w:t>
      </w:r>
    </w:p>
    <w:p w:rsidR="103354F8" w:rsidP="103354F8" w:rsidRDefault="103354F8" w14:paraId="58018E14" w14:textId="5D8AC327">
      <w:pPr>
        <w:pStyle w:val="ListParagraph"/>
        <w:numPr>
          <w:ilvl w:val="0"/>
          <w:numId w:val="32"/>
        </w:numPr>
        <w:shd w:val="clear" w:color="auto" w:fill="FFFFFF" w:themeFill="background1"/>
      </w:pPr>
      <w:r w:rsidRPr="103354F8">
        <w:rPr>
          <w:rFonts w:ascii="Arial" w:hAnsi="Arial" w:cs="Arial"/>
        </w:rPr>
        <w:t>Industrial processes</w:t>
      </w:r>
    </w:p>
    <w:p w:rsidR="00CD6A09" w:rsidP="103354F8" w:rsidRDefault="103354F8" w14:paraId="166E9590" w14:textId="5507DD51">
      <w:pPr>
        <w:pStyle w:val="ListParagraph"/>
        <w:numPr>
          <w:ilvl w:val="0"/>
          <w:numId w:val="32"/>
        </w:numPr>
        <w:shd w:val="clear" w:color="auto" w:fill="FFFFFF" w:themeFill="background1"/>
        <w:spacing w:after="0" w:line="240" w:lineRule="auto"/>
        <w:rPr>
          <w:rFonts w:ascii="Arial" w:hAnsi="Arial" w:eastAsia="Arial" w:cs="Arial"/>
        </w:rPr>
      </w:pPr>
      <w:r w:rsidRPr="103354F8">
        <w:rPr>
          <w:rFonts w:ascii="Arial" w:hAnsi="Arial" w:cs="Arial"/>
        </w:rPr>
        <w:t>If there is not an all-electric prescriptive pathway for a building under the state Energy Code, and the building is unable to achieve the Energy Code’s performance compliance pathway using commercially available technology and an approved calculation method, then the building official may grant a modification.</w:t>
      </w:r>
    </w:p>
    <w:p w:rsidRPr="00AE7107" w:rsidR="00764A41" w:rsidP="103354F8" w:rsidRDefault="103354F8" w14:paraId="1C287AB9" w14:textId="6E2EF222">
      <w:pPr>
        <w:pStyle w:val="ListParagraph"/>
        <w:widowControl w:val="0"/>
        <w:autoSpaceDE w:val="0"/>
        <w:autoSpaceDN w:val="0"/>
        <w:adjustRightInd w:val="0"/>
        <w:spacing w:after="240" w:line="240" w:lineRule="auto"/>
        <w:ind w:left="0"/>
        <w:rPr>
          <w:rFonts w:ascii="Arial" w:hAnsi="Arial" w:cs="Arial"/>
        </w:rPr>
      </w:pPr>
      <w:r w:rsidRPr="103354F8">
        <w:rPr>
          <w:rFonts w:ascii="Arial" w:hAnsi="Arial" w:cs="Arial"/>
        </w:rPr>
        <w:t xml:space="preserve">Buildings that invoke these exceptions would be required to prepare the location of </w:t>
      </w:r>
      <w:r w:rsidR="007579B2">
        <w:rPr>
          <w:rFonts w:ascii="Arial" w:hAnsi="Arial" w:cs="Arial"/>
        </w:rPr>
        <w:t>fuel</w:t>
      </w:r>
      <w:r w:rsidRPr="103354F8">
        <w:rPr>
          <w:rFonts w:ascii="Arial" w:hAnsi="Arial" w:cs="Arial"/>
        </w:rPr>
        <w:t xml:space="preserve"> gas appliances for future electrification, in order to reduce future retrofit costs.</w:t>
      </w:r>
    </w:p>
    <w:p w:rsidRPr="008E3950" w:rsidR="008E3950" w:rsidP="008E3950" w:rsidRDefault="008E3950" w14:paraId="3AB0A15B" w14:textId="77777777">
      <w:pPr>
        <w:autoSpaceDE w:val="0"/>
        <w:autoSpaceDN w:val="0"/>
        <w:adjustRightInd w:val="0"/>
        <w:rPr>
          <w:rFonts w:ascii="Arial" w:hAnsi="Arial" w:cs="Arial"/>
          <w:color w:val="000000"/>
          <w:sz w:val="22"/>
          <w:szCs w:val="22"/>
        </w:rPr>
      </w:pPr>
    </w:p>
    <w:p w:rsidRPr="008E3950" w:rsidR="008E3950" w:rsidP="008E3950" w:rsidRDefault="008E3950" w14:paraId="252B0032" w14:textId="77777777">
      <w:pPr>
        <w:autoSpaceDE w:val="0"/>
        <w:autoSpaceDN w:val="0"/>
        <w:adjustRightInd w:val="0"/>
        <w:rPr>
          <w:rFonts w:ascii="Arial" w:hAnsi="Arial" w:cs="Arial"/>
          <w:b/>
          <w:color w:val="000000"/>
          <w:sz w:val="22"/>
          <w:szCs w:val="22"/>
        </w:rPr>
      </w:pPr>
      <w:r w:rsidRPr="008E3950">
        <w:rPr>
          <w:rFonts w:ascii="Arial" w:hAnsi="Arial" w:cs="Arial"/>
          <w:b/>
          <w:color w:val="000000"/>
          <w:sz w:val="22"/>
          <w:szCs w:val="22"/>
        </w:rPr>
        <w:lastRenderedPageBreak/>
        <w:t>Electric Vehicle Charging Infrastructure Reach Codes</w:t>
      </w:r>
    </w:p>
    <w:p w:rsidR="008E3950" w:rsidP="008E3950" w:rsidRDefault="103354F8" w14:paraId="7DB3335C" w14:textId="79827000">
      <w:pPr>
        <w:autoSpaceDE w:val="0"/>
        <w:autoSpaceDN w:val="0"/>
        <w:adjustRightInd w:val="0"/>
        <w:rPr>
          <w:rFonts w:ascii="Arial" w:hAnsi="Arial" w:cs="Arial"/>
          <w:sz w:val="22"/>
          <w:szCs w:val="22"/>
        </w:rPr>
      </w:pPr>
      <w:r w:rsidRPr="103354F8">
        <w:rPr>
          <w:rFonts w:ascii="Arial" w:hAnsi="Arial" w:cs="Arial"/>
          <w:sz w:val="22"/>
          <w:szCs w:val="22"/>
        </w:rPr>
        <w:t xml:space="preserve">Staff have worked closely with </w:t>
      </w:r>
      <w:r w:rsidR="00845225">
        <w:rPr>
          <w:rFonts w:ascii="Arial" w:hAnsi="Arial" w:cs="Arial"/>
          <w:sz w:val="22"/>
          <w:szCs w:val="22"/>
        </w:rPr>
        <w:t>CCCE</w:t>
      </w:r>
      <w:r w:rsidR="008E3184">
        <w:rPr>
          <w:rFonts w:ascii="Arial" w:hAnsi="Arial" w:cs="Arial"/>
          <w:sz w:val="22"/>
          <w:szCs w:val="22"/>
        </w:rPr>
        <w:t xml:space="preserve"> to</w:t>
      </w:r>
      <w:r w:rsidRPr="103354F8">
        <w:rPr>
          <w:rFonts w:ascii="Arial" w:hAnsi="Arial" w:cs="Arial"/>
          <w:sz w:val="22"/>
          <w:szCs w:val="22"/>
        </w:rPr>
        <w:t xml:space="preserve"> establish new construction EV requirements which are more in-line with local EV adoption trends, while providing flexibility for the builder and keeping construction costs as low as possible.</w:t>
      </w:r>
    </w:p>
    <w:p w:rsidR="00C96A51" w:rsidP="008E3950" w:rsidRDefault="00C96A51" w14:paraId="79E57C8E" w14:textId="4A00B818">
      <w:pPr>
        <w:autoSpaceDE w:val="0"/>
        <w:autoSpaceDN w:val="0"/>
        <w:adjustRightInd w:val="0"/>
        <w:rPr>
          <w:rFonts w:ascii="Arial" w:hAnsi="Arial" w:cs="Arial"/>
          <w:sz w:val="22"/>
          <w:szCs w:val="22"/>
        </w:rPr>
      </w:pPr>
    </w:p>
    <w:p w:rsidRPr="008E3950" w:rsidR="00C96A51" w:rsidP="008E3950" w:rsidRDefault="285FB620" w14:paraId="18A34ED5" w14:textId="126CD59A">
      <w:pPr>
        <w:autoSpaceDE w:val="0"/>
        <w:autoSpaceDN w:val="0"/>
        <w:adjustRightInd w:val="0"/>
        <w:rPr>
          <w:rFonts w:ascii="Arial" w:hAnsi="Arial" w:cs="Arial"/>
          <w:color w:val="000000"/>
          <w:sz w:val="22"/>
          <w:szCs w:val="22"/>
        </w:rPr>
      </w:pPr>
      <w:r w:rsidRPr="285FB620">
        <w:rPr>
          <w:rFonts w:ascii="Arial" w:hAnsi="Arial" w:cs="Arial"/>
          <w:sz w:val="22"/>
          <w:szCs w:val="22"/>
        </w:rPr>
        <w:t>Staff incorporated some existing building requirements that are triggered when new parking facilities are added or existing parking facilities alterations involve electrical or lighting work. These requirements include that 10% of these new or altered parking facilities be EVCS, and that any existing EV Capable spaces on-site to be converted to EV Ready spaces.</w:t>
      </w:r>
    </w:p>
    <w:p w:rsidRPr="008E3950" w:rsidR="008E3950" w:rsidP="008E3950" w:rsidRDefault="008E3950" w14:paraId="5EC64F46" w14:textId="77777777">
      <w:pPr>
        <w:autoSpaceDE w:val="0"/>
        <w:autoSpaceDN w:val="0"/>
        <w:adjustRightInd w:val="0"/>
        <w:rPr>
          <w:rFonts w:ascii="Arial" w:hAnsi="Arial" w:cs="Arial"/>
          <w:color w:val="000000"/>
          <w:sz w:val="22"/>
          <w:szCs w:val="22"/>
        </w:rPr>
      </w:pPr>
    </w:p>
    <w:p w:rsidRPr="008E3950" w:rsidR="008E3950" w:rsidP="008E3950" w:rsidRDefault="008E3950" w14:paraId="78DC1E32" w14:textId="77777777">
      <w:pPr>
        <w:shd w:val="clear" w:color="auto" w:fill="FFFFFF"/>
        <w:rPr>
          <w:rFonts w:ascii="Arial" w:hAnsi="Arial" w:cs="Arial"/>
          <w:sz w:val="22"/>
          <w:szCs w:val="22"/>
        </w:rPr>
      </w:pPr>
      <w:r w:rsidRPr="008E3950">
        <w:rPr>
          <w:rFonts w:ascii="Arial" w:hAnsi="Arial" w:cs="Arial"/>
          <w:sz w:val="22"/>
          <w:szCs w:val="22"/>
        </w:rPr>
        <w:t>Recommended requirements for EV infrastructure are:</w:t>
      </w:r>
    </w:p>
    <w:p w:rsidRPr="008E3950" w:rsidR="008E3950" w:rsidP="008E3950" w:rsidRDefault="008E3950" w14:paraId="2F7F6857" w14:textId="77777777">
      <w:pPr>
        <w:shd w:val="clear" w:color="auto" w:fill="FFFFFF"/>
        <w:rPr>
          <w:rFonts w:ascii="Arial" w:hAnsi="Arial" w:cs="Arial"/>
          <w:sz w:val="22"/>
          <w:szCs w:val="22"/>
        </w:rPr>
      </w:pPr>
    </w:p>
    <w:p w:rsidRPr="008E3950" w:rsidR="008E3950" w:rsidP="103354F8" w:rsidRDefault="1BEEE9CA" w14:paraId="45D294F7" w14:textId="77777777">
      <w:pPr>
        <w:shd w:val="clear" w:color="auto" w:fill="FFFFFF" w:themeFill="background1"/>
        <w:rPr>
          <w:rFonts w:ascii="Arial" w:hAnsi="Arial" w:cs="Arial"/>
          <w:sz w:val="22"/>
          <w:szCs w:val="22"/>
          <w:u w:val="single"/>
        </w:rPr>
      </w:pPr>
      <w:r w:rsidRPr="1BEEE9CA">
        <w:rPr>
          <w:rFonts w:ascii="Arial" w:hAnsi="Arial" w:cs="Arial"/>
          <w:sz w:val="22"/>
          <w:szCs w:val="22"/>
          <w:u w:val="single"/>
        </w:rPr>
        <w:t>Residential</w:t>
      </w:r>
    </w:p>
    <w:p w:rsidRPr="008E3950" w:rsidR="008E3950" w:rsidP="185DBA32" w:rsidRDefault="1BEEE9CA" w14:paraId="250481BF" w14:textId="660188F2">
      <w:pPr>
        <w:pStyle w:val="ListParagraph"/>
        <w:numPr>
          <w:ilvl w:val="0"/>
          <w:numId w:val="30"/>
        </w:numPr>
        <w:shd w:val="clear" w:color="auto" w:fill="FFFFFF" w:themeFill="background1"/>
        <w:spacing w:after="0" w:line="240" w:lineRule="auto"/>
        <w:rPr>
          <w:rFonts w:ascii="Arial" w:hAnsi="Arial" w:eastAsia="Times New Roman" w:cs="Arial"/>
        </w:rPr>
      </w:pPr>
      <w:r w:rsidRPr="1BEEE9CA">
        <w:rPr>
          <w:rFonts w:ascii="Arial" w:hAnsi="Arial" w:eastAsia="Times New Roman" w:cs="Arial"/>
        </w:rPr>
        <w:t xml:space="preserve">Single Family Dwelling: </w:t>
      </w:r>
    </w:p>
    <w:p w:rsidRPr="008E3950" w:rsidR="008E3950" w:rsidP="1BEEE9CA" w:rsidRDefault="1BEEE9CA" w14:paraId="3AA9ACE2" w14:textId="5DE0475B">
      <w:pPr>
        <w:pStyle w:val="ListParagraph"/>
        <w:numPr>
          <w:ilvl w:val="1"/>
          <w:numId w:val="30"/>
        </w:numPr>
        <w:shd w:val="clear" w:color="auto" w:fill="FFFFFF" w:themeFill="background1"/>
        <w:spacing w:after="0" w:line="240" w:lineRule="auto"/>
      </w:pPr>
      <w:r w:rsidRPr="1BEEE9CA">
        <w:rPr>
          <w:rFonts w:ascii="Arial" w:hAnsi="Arial" w:eastAsia="Times New Roman" w:cs="Arial"/>
        </w:rPr>
        <w:t>One dedicated EV ready Level 2 circuit, and</w:t>
      </w:r>
    </w:p>
    <w:p w:rsidRPr="00505BE5" w:rsidR="1BEEE9CA" w:rsidP="1BEEE9CA" w:rsidRDefault="1BEEE9CA" w14:paraId="6B9FF924" w14:textId="026123DA">
      <w:pPr>
        <w:pStyle w:val="ListParagraph"/>
        <w:numPr>
          <w:ilvl w:val="1"/>
          <w:numId w:val="30"/>
        </w:numPr>
        <w:shd w:val="clear" w:color="auto" w:fill="FFFFFF" w:themeFill="background1"/>
        <w:spacing w:after="0" w:line="240" w:lineRule="auto"/>
        <w:rPr>
          <w:rFonts w:cs="Calibri"/>
        </w:rPr>
      </w:pPr>
      <w:r w:rsidRPr="1BEEE9CA">
        <w:rPr>
          <w:rFonts w:ascii="Arial" w:hAnsi="Arial" w:eastAsia="Times New Roman" w:cs="Arial"/>
        </w:rPr>
        <w:t xml:space="preserve">One </w:t>
      </w:r>
      <w:r w:rsidRPr="00505BE5">
        <w:rPr>
          <w:rFonts w:ascii="Arial" w:hAnsi="Arial" w:eastAsia="Times New Roman" w:cs="Arial"/>
        </w:rPr>
        <w:t>dedicated EV ready Level 1 circuit if there is a second parking space.</w:t>
      </w:r>
    </w:p>
    <w:p w:rsidRPr="00505BE5" w:rsidR="00A838A4" w:rsidP="00C96A51" w:rsidRDefault="5431ADFA" w14:paraId="7C5A578F" w14:textId="7C88FB45">
      <w:pPr>
        <w:pStyle w:val="ListParagraph"/>
        <w:numPr>
          <w:ilvl w:val="0"/>
          <w:numId w:val="30"/>
        </w:numPr>
        <w:shd w:val="clear" w:color="auto" w:fill="FFFFFF" w:themeFill="background1"/>
        <w:spacing w:after="0" w:line="240" w:lineRule="auto"/>
        <w:rPr>
          <w:rFonts w:ascii="Arial" w:hAnsi="Arial" w:eastAsia="Times New Roman" w:cs="Arial"/>
        </w:rPr>
      </w:pPr>
      <w:commentRangeStart w:id="7"/>
      <w:r w:rsidRPr="5431ADFA">
        <w:rPr>
          <w:rFonts w:ascii="Arial" w:hAnsi="Arial" w:eastAsia="Times New Roman" w:cs="Arial"/>
          <w:highlight w:val="darkGray"/>
        </w:rPr>
        <w:t>[OPTION A - HIGH POWER ]</w:t>
      </w:r>
      <w:r w:rsidRPr="5431ADFA">
        <w:rPr>
          <w:rFonts w:ascii="Arial" w:hAnsi="Arial" w:eastAsia="Times New Roman" w:cs="Arial"/>
        </w:rPr>
        <w:t xml:space="preserve"> </w:t>
      </w:r>
      <w:commentRangeEnd w:id="7"/>
      <w:r w:rsidR="00505BE5">
        <w:rPr>
          <w:rStyle w:val="CommentReference"/>
        </w:rPr>
        <w:commentReference w:id="7"/>
      </w:r>
      <w:r w:rsidRPr="5431ADFA">
        <w:rPr>
          <w:rFonts w:ascii="Arial" w:hAnsi="Arial" w:eastAsia="Times New Roman" w:cs="Arial"/>
        </w:rPr>
        <w:t>Multi-Unit Dwelling:</w:t>
      </w:r>
    </w:p>
    <w:p w:rsidRPr="00505BE5" w:rsidR="00A838A4" w:rsidP="00A838A4" w:rsidRDefault="00A838A4" w14:paraId="4A5C4EDD" w14:textId="77777777">
      <w:pPr>
        <w:pStyle w:val="ListParagraph"/>
        <w:numPr>
          <w:ilvl w:val="1"/>
          <w:numId w:val="30"/>
        </w:numPr>
        <w:shd w:val="clear" w:color="auto" w:fill="FFFFFF" w:themeFill="background1"/>
        <w:spacing w:after="0" w:line="240" w:lineRule="auto"/>
      </w:pPr>
      <w:r w:rsidRPr="00505BE5">
        <w:rPr>
          <w:rFonts w:ascii="Arial" w:hAnsi="Arial" w:eastAsia="Times New Roman" w:cs="Arial"/>
        </w:rPr>
        <w:t xml:space="preserve">15% of units with parking spaces, Level 2 EV Charging Stations; </w:t>
      </w:r>
    </w:p>
    <w:p w:rsidRPr="00505BE5" w:rsidR="00A838A4" w:rsidP="00A838A4" w:rsidRDefault="00A838A4" w14:paraId="7F192283" w14:textId="606F5E5B">
      <w:pPr>
        <w:pStyle w:val="ListParagraph"/>
        <w:numPr>
          <w:ilvl w:val="1"/>
          <w:numId w:val="30"/>
        </w:numPr>
        <w:shd w:val="clear" w:color="auto" w:fill="FFFFFF" w:themeFill="background1"/>
        <w:spacing w:after="0" w:line="240" w:lineRule="auto"/>
      </w:pPr>
      <w:r w:rsidRPr="00505BE5">
        <w:rPr>
          <w:rFonts w:ascii="Arial" w:hAnsi="Arial" w:eastAsia="Times New Roman" w:cs="Arial"/>
        </w:rPr>
        <w:t>85% of units with parking spaces, Low Power Level 2 EV Ready;</w:t>
      </w:r>
    </w:p>
    <w:p w:rsidRPr="00505BE5" w:rsidR="00914FA7" w:rsidP="00914FA7" w:rsidRDefault="5431ADFA" w14:paraId="447FC706" w14:textId="2093F847">
      <w:pPr>
        <w:pStyle w:val="ListParagraph"/>
        <w:numPr>
          <w:ilvl w:val="0"/>
          <w:numId w:val="30"/>
        </w:numPr>
        <w:shd w:val="clear" w:color="auto" w:fill="FFFFFF" w:themeFill="background1"/>
        <w:spacing w:after="0" w:line="240" w:lineRule="auto"/>
        <w:rPr>
          <w:rFonts w:ascii="Arial" w:hAnsi="Arial" w:eastAsia="Times New Roman" w:cs="Arial"/>
        </w:rPr>
      </w:pPr>
      <w:r w:rsidRPr="5431ADFA">
        <w:rPr>
          <w:rFonts w:ascii="Arial" w:hAnsi="Arial" w:eastAsia="Times New Roman" w:cs="Arial"/>
          <w:highlight w:val="darkGray"/>
        </w:rPr>
        <w:t xml:space="preserve">[OPTION B - LOW POWER </w:t>
      </w:r>
      <w:r w:rsidRPr="5431ADFA">
        <w:rPr>
          <w:rFonts w:ascii="Arial" w:hAnsi="Arial" w:eastAsia="Times New Roman" w:cs="Arial"/>
        </w:rPr>
        <w:t xml:space="preserve">] Multi-Unit Dwelling: </w:t>
      </w:r>
    </w:p>
    <w:p w:rsidRPr="00505BE5" w:rsidR="00914FA7" w:rsidP="00914FA7" w:rsidRDefault="00914FA7" w14:paraId="7503064C" w14:textId="77777777">
      <w:pPr>
        <w:pStyle w:val="ListParagraph"/>
        <w:numPr>
          <w:ilvl w:val="1"/>
          <w:numId w:val="30"/>
        </w:numPr>
        <w:shd w:val="clear" w:color="auto" w:fill="FFFFFF" w:themeFill="background1"/>
        <w:spacing w:after="0" w:line="240" w:lineRule="auto"/>
      </w:pPr>
      <w:r w:rsidRPr="00505BE5">
        <w:rPr>
          <w:rFonts w:ascii="Arial" w:hAnsi="Arial" w:eastAsia="Times New Roman" w:cs="Arial"/>
        </w:rPr>
        <w:t xml:space="preserve">40% of units with parking spaces, Level 2 EV Charging Stations; </w:t>
      </w:r>
    </w:p>
    <w:p w:rsidRPr="00505BE5" w:rsidR="00914FA7" w:rsidP="002F4674" w:rsidRDefault="00914FA7" w14:paraId="2B83B841" w14:textId="332C0BAB">
      <w:pPr>
        <w:pStyle w:val="ListParagraph"/>
        <w:numPr>
          <w:ilvl w:val="1"/>
          <w:numId w:val="30"/>
        </w:numPr>
        <w:shd w:val="clear" w:color="auto" w:fill="FFFFFF" w:themeFill="background1"/>
        <w:spacing w:after="0" w:line="240" w:lineRule="auto"/>
      </w:pPr>
      <w:r w:rsidRPr="00505BE5">
        <w:rPr>
          <w:rFonts w:ascii="Arial" w:hAnsi="Arial" w:eastAsia="Times New Roman" w:cs="Arial"/>
        </w:rPr>
        <w:t>60% of units with parking spaces, Level 1 EV Ready.</w:t>
      </w:r>
    </w:p>
    <w:p w:rsidRPr="008E3950" w:rsidR="008E3950" w:rsidP="008E3950" w:rsidRDefault="008E3950" w14:paraId="1BC78692" w14:textId="77777777">
      <w:pPr>
        <w:pStyle w:val="ListParagraph"/>
        <w:shd w:val="clear" w:color="auto" w:fill="FFFFFF"/>
        <w:spacing w:after="0" w:line="240" w:lineRule="auto"/>
        <w:ind w:left="1440"/>
        <w:rPr>
          <w:rFonts w:ascii="Arial" w:hAnsi="Arial" w:eastAsia="Times New Roman" w:cs="Arial"/>
        </w:rPr>
      </w:pPr>
    </w:p>
    <w:p w:rsidRPr="008E3950" w:rsidR="008E3950" w:rsidP="008E3950" w:rsidRDefault="008E3950" w14:paraId="50824F8D" w14:textId="77777777">
      <w:pPr>
        <w:shd w:val="clear" w:color="auto" w:fill="FFFFFF"/>
        <w:rPr>
          <w:rFonts w:ascii="Arial" w:hAnsi="Arial" w:cs="Arial"/>
          <w:sz w:val="22"/>
          <w:szCs w:val="22"/>
          <w:u w:val="single"/>
        </w:rPr>
      </w:pPr>
      <w:r w:rsidRPr="008E3950">
        <w:rPr>
          <w:rFonts w:ascii="Arial" w:hAnsi="Arial" w:cs="Arial"/>
          <w:sz w:val="22"/>
          <w:szCs w:val="22"/>
          <w:u w:val="single"/>
        </w:rPr>
        <w:t>Non-Residential Office</w:t>
      </w:r>
    </w:p>
    <w:p w:rsidRPr="008E3950" w:rsidR="008E3950" w:rsidP="185DBA32" w:rsidRDefault="1BEEE9CA" w14:paraId="3232BD20" w14:textId="3D9B4FCA">
      <w:pPr>
        <w:pStyle w:val="ListParagraph"/>
        <w:numPr>
          <w:ilvl w:val="0"/>
          <w:numId w:val="31"/>
        </w:numPr>
        <w:shd w:val="clear" w:color="auto" w:fill="FFFFFF" w:themeFill="background1"/>
        <w:spacing w:after="0" w:line="240" w:lineRule="auto"/>
        <w:rPr>
          <w:rFonts w:ascii="Arial" w:hAnsi="Arial" w:eastAsia="Times New Roman" w:cs="Arial"/>
        </w:rPr>
      </w:pPr>
      <w:r w:rsidRPr="1BEEE9CA">
        <w:rPr>
          <w:rFonts w:ascii="Arial" w:hAnsi="Arial" w:eastAsia="Times New Roman" w:cs="Arial"/>
        </w:rPr>
        <w:t>20% of the parking spaces, Level 2 EV Charging Stations installed</w:t>
      </w:r>
    </w:p>
    <w:p w:rsidR="008E3950" w:rsidP="00EE0337" w:rsidRDefault="1BEEE9CA" w14:paraId="37421AAB" w14:textId="398BC033">
      <w:pPr>
        <w:pStyle w:val="ListParagraph"/>
        <w:numPr>
          <w:ilvl w:val="0"/>
          <w:numId w:val="31"/>
        </w:numPr>
        <w:shd w:val="clear" w:color="auto" w:fill="FFFFFF" w:themeFill="background1"/>
        <w:spacing w:after="0" w:line="240" w:lineRule="auto"/>
        <w:rPr>
          <w:rFonts w:ascii="Arial" w:hAnsi="Arial" w:eastAsia="Times New Roman" w:cs="Arial"/>
        </w:rPr>
      </w:pPr>
      <w:r w:rsidRPr="1BEEE9CA">
        <w:rPr>
          <w:rFonts w:ascii="Arial" w:hAnsi="Arial" w:eastAsia="Times New Roman" w:cs="Arial"/>
        </w:rPr>
        <w:t>30% of the parking spaces, Level 2 EV Capable</w:t>
      </w:r>
    </w:p>
    <w:p w:rsidRPr="00EE0337" w:rsidR="00EE0337" w:rsidP="00EE0337" w:rsidRDefault="00EE0337" w14:paraId="58651916" w14:textId="77777777">
      <w:pPr>
        <w:pStyle w:val="ListParagraph"/>
        <w:shd w:val="clear" w:color="auto" w:fill="FFFFFF" w:themeFill="background1"/>
        <w:spacing w:after="0" w:line="240" w:lineRule="auto"/>
        <w:rPr>
          <w:rFonts w:ascii="Arial" w:hAnsi="Arial" w:eastAsia="Times New Roman" w:cs="Arial"/>
        </w:rPr>
      </w:pPr>
    </w:p>
    <w:p w:rsidRPr="008E3950" w:rsidR="008E3950" w:rsidP="008E3950" w:rsidRDefault="008E3950" w14:paraId="7E05F300" w14:textId="77777777">
      <w:pPr>
        <w:shd w:val="clear" w:color="auto" w:fill="FFFFFF"/>
        <w:rPr>
          <w:rFonts w:ascii="Arial" w:hAnsi="Arial" w:cs="Arial"/>
          <w:sz w:val="22"/>
          <w:szCs w:val="22"/>
          <w:u w:val="single"/>
        </w:rPr>
      </w:pPr>
      <w:r w:rsidRPr="008E3950">
        <w:rPr>
          <w:rFonts w:ascii="Arial" w:hAnsi="Arial" w:cs="Arial"/>
          <w:sz w:val="22"/>
          <w:szCs w:val="22"/>
          <w:u w:val="single"/>
        </w:rPr>
        <w:t>Non-Residential, Non-Office</w:t>
      </w:r>
    </w:p>
    <w:p w:rsidRPr="008E3950" w:rsidR="008E3950" w:rsidP="185DBA32" w:rsidRDefault="1BEEE9CA" w14:paraId="454841E2" w14:textId="49D36898">
      <w:pPr>
        <w:pStyle w:val="ListParagraph"/>
        <w:numPr>
          <w:ilvl w:val="0"/>
          <w:numId w:val="31"/>
        </w:numPr>
        <w:shd w:val="clear" w:color="auto" w:fill="FFFFFF" w:themeFill="background1"/>
        <w:spacing w:after="0" w:line="240" w:lineRule="auto"/>
        <w:rPr>
          <w:rFonts w:ascii="Arial" w:hAnsi="Arial" w:eastAsia="Times New Roman" w:cs="Arial"/>
        </w:rPr>
      </w:pPr>
      <w:r w:rsidRPr="1BEEE9CA">
        <w:rPr>
          <w:rFonts w:ascii="Arial" w:hAnsi="Arial" w:eastAsia="Times New Roman" w:cs="Arial"/>
        </w:rPr>
        <w:t>10% of the parking spaces, Level 2 EV Charging Stations installed</w:t>
      </w:r>
    </w:p>
    <w:p w:rsidRPr="008E3950" w:rsidR="008E3950" w:rsidP="185DBA32" w:rsidRDefault="1BEEE9CA" w14:paraId="001450C0" w14:textId="4430156B">
      <w:pPr>
        <w:pStyle w:val="ListParagraph"/>
        <w:numPr>
          <w:ilvl w:val="0"/>
          <w:numId w:val="31"/>
        </w:numPr>
        <w:shd w:val="clear" w:color="auto" w:fill="FFFFFF" w:themeFill="background1"/>
        <w:spacing w:after="0" w:line="240" w:lineRule="auto"/>
        <w:rPr>
          <w:rFonts w:ascii="Arial" w:hAnsi="Arial" w:eastAsia="Times New Roman" w:cs="Arial"/>
        </w:rPr>
      </w:pPr>
      <w:r w:rsidRPr="1BEEE9CA">
        <w:rPr>
          <w:rFonts w:ascii="Arial" w:hAnsi="Arial" w:eastAsia="Times New Roman" w:cs="Arial"/>
        </w:rPr>
        <w:t>10% of the parking spaces, Level 2 EV Capable</w:t>
      </w:r>
    </w:p>
    <w:p w:rsidRPr="008E3950" w:rsidR="008E3950" w:rsidP="008E3950" w:rsidRDefault="008E3950" w14:paraId="4EE0AE97" w14:textId="77777777">
      <w:pPr>
        <w:shd w:val="clear" w:color="auto" w:fill="FFFFFF"/>
        <w:rPr>
          <w:rFonts w:ascii="Arial" w:hAnsi="Arial" w:cs="Arial"/>
          <w:sz w:val="22"/>
          <w:szCs w:val="22"/>
        </w:rPr>
      </w:pPr>
    </w:p>
    <w:p w:rsidRPr="008E3950" w:rsidR="008E3950" w:rsidP="008E3950" w:rsidRDefault="008E3950" w14:paraId="1C96AA41" w14:textId="77777777">
      <w:pPr>
        <w:autoSpaceDE w:val="0"/>
        <w:autoSpaceDN w:val="0"/>
        <w:adjustRightInd w:val="0"/>
        <w:rPr>
          <w:rFonts w:ascii="Arial" w:hAnsi="Arial" w:cs="Arial"/>
          <w:sz w:val="22"/>
          <w:szCs w:val="22"/>
        </w:rPr>
      </w:pPr>
      <w:r w:rsidRPr="008E3950">
        <w:rPr>
          <w:rFonts w:ascii="Arial" w:hAnsi="Arial" w:cs="Arial"/>
          <w:b/>
          <w:color w:val="000000"/>
          <w:sz w:val="22"/>
          <w:szCs w:val="22"/>
        </w:rPr>
        <w:t>Ordinance Language</w:t>
      </w:r>
    </w:p>
    <w:p w:rsidRPr="008E3950" w:rsidR="008E3950" w:rsidP="008E3950" w:rsidRDefault="008E3950" w14:paraId="5B0E3975" w14:textId="77777777">
      <w:pPr>
        <w:shd w:val="clear" w:color="auto" w:fill="FFFFFF"/>
        <w:rPr>
          <w:rFonts w:ascii="Arial" w:hAnsi="Arial" w:cs="Arial"/>
          <w:sz w:val="22"/>
          <w:szCs w:val="22"/>
        </w:rPr>
      </w:pPr>
      <w:r w:rsidRPr="008E3950">
        <w:rPr>
          <w:rFonts w:ascii="Arial" w:hAnsi="Arial" w:cs="Arial"/>
          <w:sz w:val="22"/>
          <w:szCs w:val="22"/>
        </w:rPr>
        <w:t xml:space="preserve">Full text of recommended ordinances is available in corresponding document titled </w:t>
      </w:r>
      <w:r w:rsidRPr="008E3950">
        <w:rPr>
          <w:rFonts w:ascii="Arial" w:hAnsi="Arial" w:cs="Arial"/>
          <w:color w:val="000000"/>
          <w:sz w:val="22"/>
          <w:szCs w:val="22"/>
          <w:highlight w:val="lightGray"/>
        </w:rPr>
        <w:t>&lt;ordinance document title&gt;</w:t>
      </w:r>
    </w:p>
    <w:p w:rsidRPr="008E3950" w:rsidR="008E3950" w:rsidP="008E3950" w:rsidRDefault="008E3950" w14:paraId="44C57C39" w14:textId="77777777">
      <w:pPr>
        <w:autoSpaceDE w:val="0"/>
        <w:autoSpaceDN w:val="0"/>
        <w:adjustRightInd w:val="0"/>
        <w:rPr>
          <w:rFonts w:ascii="Arial" w:hAnsi="Arial" w:cs="Arial"/>
          <w:color w:val="000000"/>
          <w:sz w:val="22"/>
          <w:szCs w:val="22"/>
        </w:rPr>
      </w:pPr>
    </w:p>
    <w:p w:rsidRPr="008E3950" w:rsidR="008E3950" w:rsidP="008E3950" w:rsidRDefault="008E3950" w14:paraId="673B6AB3" w14:textId="77777777">
      <w:pPr>
        <w:autoSpaceDE w:val="0"/>
        <w:autoSpaceDN w:val="0"/>
        <w:adjustRightInd w:val="0"/>
        <w:rPr>
          <w:rFonts w:ascii="Arial" w:hAnsi="Arial" w:cs="Arial"/>
          <w:color w:val="000000"/>
          <w:sz w:val="22"/>
          <w:szCs w:val="22"/>
          <w:highlight w:val="lightGray"/>
        </w:rPr>
      </w:pPr>
      <w:r w:rsidRPr="008E3950">
        <w:rPr>
          <w:rFonts w:ascii="Arial" w:hAnsi="Arial" w:cs="Arial"/>
          <w:b/>
          <w:bCs/>
          <w:color w:val="000000"/>
          <w:sz w:val="22"/>
          <w:szCs w:val="22"/>
        </w:rPr>
        <w:t xml:space="preserve">STAFF CONTACT </w:t>
      </w:r>
      <w:r w:rsidRPr="008E3950">
        <w:rPr>
          <w:rFonts w:ascii="Arial" w:hAnsi="Arial" w:cs="Arial"/>
          <w:color w:val="000000"/>
          <w:sz w:val="22"/>
          <w:szCs w:val="22"/>
          <w:highlight w:val="lightGray"/>
        </w:rPr>
        <w:t>&lt;staff contact name&gt;</w:t>
      </w:r>
    </w:p>
    <w:p w:rsidRPr="008E3950" w:rsidR="008E3950" w:rsidP="008E3950" w:rsidRDefault="008E3950" w14:paraId="6D79469E" w14:textId="77777777">
      <w:pPr>
        <w:autoSpaceDE w:val="0"/>
        <w:autoSpaceDN w:val="0"/>
        <w:adjustRightInd w:val="0"/>
        <w:rPr>
          <w:rFonts w:ascii="Arial" w:hAnsi="Arial" w:cs="Arial"/>
          <w:sz w:val="22"/>
          <w:szCs w:val="22"/>
        </w:rPr>
      </w:pPr>
      <w:r w:rsidRPr="008E3950">
        <w:rPr>
          <w:rFonts w:ascii="Arial" w:hAnsi="Arial" w:cs="Arial"/>
          <w:sz w:val="22"/>
          <w:szCs w:val="22"/>
          <w:highlight w:val="lightGray"/>
        </w:rPr>
        <w:t>&lt;contact email address&gt;; &lt;contact phone number&gt;</w:t>
      </w:r>
    </w:p>
    <w:p w:rsidRPr="008E3950" w:rsidR="001F210D" w:rsidP="0065673B" w:rsidRDefault="001F210D" w14:paraId="3CDDAA8A" w14:textId="77777777">
      <w:pPr>
        <w:jc w:val="both"/>
        <w:rPr>
          <w:rFonts w:ascii="Arial" w:hAnsi="Arial" w:cs="Arial"/>
          <w:b/>
          <w:bCs/>
          <w:sz w:val="22"/>
          <w:szCs w:val="22"/>
        </w:rPr>
      </w:pPr>
    </w:p>
    <w:p w:rsidRPr="008E3950" w:rsidR="00262363" w:rsidP="002147A5" w:rsidRDefault="185DBA32" w14:paraId="17D3ADEA" w14:textId="2F41CFC4">
      <w:pPr>
        <w:ind w:left="2160" w:hanging="2160"/>
        <w:jc w:val="both"/>
        <w:rPr>
          <w:rFonts w:ascii="Arial" w:hAnsi="Arial" w:cs="Arial"/>
          <w:sz w:val="22"/>
          <w:szCs w:val="22"/>
        </w:rPr>
      </w:pPr>
      <w:r w:rsidRPr="185DBA32">
        <w:rPr>
          <w:rFonts w:ascii="Arial" w:hAnsi="Arial" w:cs="Arial"/>
          <w:b/>
          <w:bCs/>
          <w:sz w:val="22"/>
          <w:szCs w:val="22"/>
        </w:rPr>
        <w:t>FISCAL IMPACT</w:t>
      </w:r>
      <w:r w:rsidRPr="185DBA32">
        <w:rPr>
          <w:rFonts w:ascii="Arial" w:hAnsi="Arial" w:cs="Arial"/>
          <w:sz w:val="22"/>
          <w:szCs w:val="22"/>
        </w:rPr>
        <w:t>:</w:t>
      </w:r>
    </w:p>
    <w:p w:rsidRPr="0022269D" w:rsidR="008E3950" w:rsidP="008E3950" w:rsidRDefault="185DBA32" w14:paraId="2D079AFD" w14:textId="77777777">
      <w:pPr>
        <w:autoSpaceDE w:val="0"/>
        <w:autoSpaceDN w:val="0"/>
        <w:adjustRightInd w:val="0"/>
        <w:rPr>
          <w:rFonts w:ascii="Arial" w:hAnsi="Arial" w:cs="Arial"/>
          <w:color w:val="000000"/>
          <w:sz w:val="22"/>
          <w:szCs w:val="22"/>
        </w:rPr>
      </w:pPr>
      <w:r w:rsidRPr="185DBA32">
        <w:rPr>
          <w:rFonts w:ascii="Arial" w:hAnsi="Arial" w:cs="Arial"/>
          <w:color w:val="000000" w:themeColor="text1"/>
          <w:sz w:val="22"/>
          <w:szCs w:val="22"/>
        </w:rPr>
        <w:t>No significant fiscal impact.</w:t>
      </w:r>
    </w:p>
    <w:p w:rsidR="185DBA32" w:rsidP="185DBA32" w:rsidRDefault="185DBA32" w14:paraId="234798BE" w14:textId="487673C5">
      <w:pPr>
        <w:rPr>
          <w:rFonts w:ascii="Arial" w:hAnsi="Arial" w:cs="Arial"/>
          <w:color w:val="000000" w:themeColor="text1"/>
        </w:rPr>
      </w:pPr>
    </w:p>
    <w:p w:rsidRPr="005042F0" w:rsidR="00417413" w:rsidP="00417413" w:rsidRDefault="00417413" w14:paraId="3123E1C1" w14:textId="33752583">
      <w:pPr>
        <w:pStyle w:val="Heading1"/>
        <w:rPr>
          <w:rFonts w:ascii="Arial" w:hAnsi="Arial" w:cs="Arial"/>
          <w:color w:val="000000" w:themeColor="text1"/>
          <w:sz w:val="22"/>
          <w:szCs w:val="22"/>
        </w:rPr>
      </w:pPr>
      <w:r w:rsidRPr="005042F0">
        <w:rPr>
          <w:rFonts w:ascii="Arial" w:hAnsi="Arial" w:cs="Arial"/>
          <w:color w:val="000000" w:themeColor="text1"/>
          <w:sz w:val="22"/>
          <w:szCs w:val="22"/>
        </w:rPr>
        <w:t>ENVIRONMENTAL CLEARANCE:</w:t>
      </w:r>
    </w:p>
    <w:p w:rsidRPr="0022269D" w:rsidR="008E3950" w:rsidP="008E3950" w:rsidRDefault="008E3950" w14:paraId="3E174407" w14:textId="77777777">
      <w:pPr>
        <w:autoSpaceDE w:val="0"/>
        <w:autoSpaceDN w:val="0"/>
        <w:adjustRightInd w:val="0"/>
        <w:rPr>
          <w:rFonts w:ascii="Arial" w:hAnsi="Arial" w:cs="Arial"/>
          <w:color w:val="000000"/>
          <w:sz w:val="22"/>
          <w:szCs w:val="22"/>
        </w:rPr>
      </w:pPr>
      <w:bookmarkStart w:name="_Hlk47292665" w:id="8"/>
      <w:r w:rsidRPr="0022269D">
        <w:rPr>
          <w:rFonts w:ascii="Arial" w:hAnsi="Arial" w:cs="Arial"/>
          <w:color w:val="000000"/>
          <w:sz w:val="22"/>
          <w:szCs w:val="22"/>
        </w:rPr>
        <w:t>In accordance with CEQA Guidelines section 15378(b)(5), action on this item is not a project subject to CEQA because policy direction is an administrative action that will not result in a physical change to the environment.</w:t>
      </w:r>
    </w:p>
    <w:bookmarkEnd w:id="8"/>
    <w:p w:rsidRPr="00417413" w:rsidR="00E96531" w:rsidP="002147A5" w:rsidRDefault="00E96531" w14:paraId="0B175C43" w14:textId="77777777">
      <w:pPr>
        <w:jc w:val="both"/>
        <w:rPr>
          <w:rFonts w:ascii="Arial" w:hAnsi="Arial" w:cs="Arial"/>
          <w:b/>
          <w:bCs/>
          <w:sz w:val="22"/>
          <w:szCs w:val="22"/>
        </w:rPr>
      </w:pPr>
    </w:p>
    <w:p w:rsidRPr="007211B8" w:rsidR="00E91B66" w:rsidP="002147A5" w:rsidRDefault="00E91B66" w14:paraId="1A3B34C2" w14:textId="77777777">
      <w:pPr>
        <w:jc w:val="both"/>
        <w:rPr>
          <w:rFonts w:ascii="Arial" w:hAnsi="Arial" w:cs="Arial"/>
          <w:b/>
          <w:bCs/>
          <w:sz w:val="22"/>
          <w:szCs w:val="22"/>
        </w:rPr>
      </w:pPr>
      <w:r w:rsidRPr="007211B8">
        <w:rPr>
          <w:rFonts w:ascii="Arial" w:hAnsi="Arial" w:cs="Arial"/>
          <w:b/>
          <w:bCs/>
          <w:sz w:val="22"/>
          <w:szCs w:val="22"/>
        </w:rPr>
        <w:t>ALTERNATIVES:</w:t>
      </w:r>
    </w:p>
    <w:p w:rsidRPr="007211B8" w:rsidR="00E91B66" w:rsidP="002147A5" w:rsidRDefault="00E91B66" w14:paraId="6C63B5B7" w14:textId="77777777">
      <w:pPr>
        <w:jc w:val="both"/>
        <w:rPr>
          <w:rFonts w:ascii="Arial" w:hAnsi="Arial" w:cs="Arial"/>
          <w:b/>
          <w:bCs/>
          <w:sz w:val="22"/>
          <w:szCs w:val="22"/>
        </w:rPr>
      </w:pPr>
    </w:p>
    <w:p w:rsidRPr="0022269D" w:rsidR="008F0CC5" w:rsidP="002147A5" w:rsidRDefault="4C73465C" w14:paraId="483F1302" w14:textId="56D56A74">
      <w:pPr>
        <w:pStyle w:val="BodyText"/>
        <w:numPr>
          <w:ilvl w:val="0"/>
          <w:numId w:val="3"/>
        </w:numPr>
        <w:jc w:val="both"/>
      </w:pPr>
      <w:r>
        <w:t xml:space="preserve">Adopt only the state codes without adopting any local amendments at this time.  </w:t>
      </w:r>
    </w:p>
    <w:p w:rsidRPr="0022269D" w:rsidR="008F0CC5" w:rsidP="002147A5" w:rsidRDefault="008F0CC5" w14:paraId="36C9125D" w14:textId="77777777">
      <w:pPr>
        <w:pStyle w:val="BodyText"/>
        <w:numPr>
          <w:ilvl w:val="0"/>
          <w:numId w:val="3"/>
        </w:numPr>
        <w:jc w:val="both"/>
        <w:rPr>
          <w:szCs w:val="22"/>
        </w:rPr>
      </w:pPr>
      <w:r w:rsidRPr="0022269D">
        <w:rPr>
          <w:szCs w:val="22"/>
        </w:rPr>
        <w:t>Direct staff to revise or remove specific local amendments.</w:t>
      </w:r>
    </w:p>
    <w:p w:rsidRPr="0022269D" w:rsidR="00E91B66" w:rsidP="002147A5" w:rsidRDefault="00E91B66" w14:paraId="5AD23D12" w14:textId="367F2454">
      <w:pPr>
        <w:numPr>
          <w:ilvl w:val="0"/>
          <w:numId w:val="3"/>
        </w:numPr>
        <w:jc w:val="both"/>
        <w:rPr>
          <w:rFonts w:ascii="Arial" w:hAnsi="Arial" w:cs="Arial"/>
          <w:sz w:val="22"/>
          <w:szCs w:val="22"/>
        </w:rPr>
      </w:pPr>
      <w:r w:rsidRPr="0022269D">
        <w:rPr>
          <w:rFonts w:ascii="Arial" w:hAnsi="Arial" w:cs="Arial"/>
          <w:sz w:val="22"/>
          <w:szCs w:val="22"/>
        </w:rPr>
        <w:t xml:space="preserve">Request staff </w:t>
      </w:r>
      <w:r w:rsidRPr="0022269D" w:rsidR="00DF182E">
        <w:rPr>
          <w:rFonts w:ascii="Arial" w:hAnsi="Arial" w:cs="Arial"/>
          <w:sz w:val="22"/>
          <w:szCs w:val="22"/>
        </w:rPr>
        <w:t xml:space="preserve">to </w:t>
      </w:r>
      <w:r w:rsidRPr="0022269D">
        <w:rPr>
          <w:rFonts w:ascii="Arial" w:hAnsi="Arial" w:cs="Arial"/>
          <w:sz w:val="22"/>
          <w:szCs w:val="22"/>
        </w:rPr>
        <w:t xml:space="preserve">bring back additional information </w:t>
      </w:r>
      <w:r w:rsidRPr="0022269D" w:rsidR="00DF182E">
        <w:rPr>
          <w:rFonts w:ascii="Arial" w:hAnsi="Arial" w:cs="Arial"/>
          <w:sz w:val="22"/>
          <w:szCs w:val="22"/>
        </w:rPr>
        <w:t xml:space="preserve">for further </w:t>
      </w:r>
      <w:r w:rsidRPr="0022269D">
        <w:rPr>
          <w:rFonts w:ascii="Arial" w:hAnsi="Arial" w:cs="Arial"/>
          <w:sz w:val="22"/>
          <w:szCs w:val="22"/>
        </w:rPr>
        <w:t>consideration</w:t>
      </w:r>
      <w:r w:rsidRPr="0022269D" w:rsidR="00DF182E">
        <w:rPr>
          <w:rFonts w:ascii="Arial" w:hAnsi="Arial" w:cs="Arial"/>
          <w:sz w:val="22"/>
          <w:szCs w:val="22"/>
        </w:rPr>
        <w:t>.</w:t>
      </w:r>
    </w:p>
    <w:p w:rsidR="00447787" w:rsidP="005042F0" w:rsidRDefault="00447787" w14:paraId="5E92BA41" w14:textId="77777777">
      <w:pPr>
        <w:jc w:val="both"/>
        <w:rPr>
          <w:rFonts w:ascii="Arial" w:hAnsi="Arial" w:cs="Arial"/>
          <w:b/>
          <w:bCs/>
          <w:sz w:val="22"/>
          <w:szCs w:val="22"/>
        </w:rPr>
      </w:pPr>
    </w:p>
    <w:p w:rsidRPr="007211B8" w:rsidR="00E91B66" w:rsidP="002147A5" w:rsidRDefault="00E91B66" w14:paraId="3E003571" w14:textId="77777777">
      <w:pPr>
        <w:ind w:left="2160" w:hanging="2160"/>
        <w:jc w:val="both"/>
        <w:rPr>
          <w:rFonts w:ascii="Arial" w:hAnsi="Arial" w:cs="Arial"/>
          <w:b/>
          <w:bCs/>
          <w:sz w:val="22"/>
          <w:szCs w:val="22"/>
        </w:rPr>
      </w:pPr>
      <w:r w:rsidRPr="007211B8">
        <w:rPr>
          <w:rFonts w:ascii="Arial" w:hAnsi="Arial" w:cs="Arial"/>
          <w:b/>
          <w:bCs/>
          <w:sz w:val="22"/>
          <w:szCs w:val="22"/>
        </w:rPr>
        <w:t>RECOMMENDATION:</w:t>
      </w:r>
    </w:p>
    <w:p w:rsidR="008F0CC5" w:rsidP="002147A5" w:rsidRDefault="008F0CC5" w14:paraId="290F041F" w14:textId="77777777">
      <w:pPr>
        <w:jc w:val="both"/>
        <w:rPr>
          <w:rFonts w:ascii="Arial" w:hAnsi="Arial" w:cs="Arial"/>
          <w:b/>
          <w:bCs/>
          <w:sz w:val="22"/>
          <w:szCs w:val="22"/>
        </w:rPr>
      </w:pPr>
    </w:p>
    <w:p w:rsidRPr="000E7A06" w:rsidR="008F0CC5" w:rsidP="0065673B" w:rsidRDefault="000E7A06" w14:paraId="401DEB75" w14:textId="0A0CCC94">
      <w:pPr>
        <w:pStyle w:val="BodyText3"/>
        <w:jc w:val="both"/>
        <w:rPr>
          <w:rFonts w:ascii="Arial" w:hAnsi="Arial" w:cs="Arial"/>
          <w:sz w:val="22"/>
          <w:szCs w:val="22"/>
        </w:rPr>
      </w:pPr>
      <w:r>
        <w:rPr>
          <w:rFonts w:ascii="Arial" w:hAnsi="Arial" w:cs="Arial"/>
          <w:b w:val="0"/>
          <w:bCs w:val="0"/>
          <w:sz w:val="22"/>
          <w:szCs w:val="22"/>
        </w:rPr>
        <w:t>W</w:t>
      </w:r>
      <w:r w:rsidRPr="007211B8">
        <w:rPr>
          <w:rFonts w:ascii="Arial" w:hAnsi="Arial" w:cs="Arial"/>
          <w:b w:val="0"/>
          <w:bCs w:val="0"/>
          <w:sz w:val="22"/>
          <w:szCs w:val="22"/>
        </w:rPr>
        <w:t>aive F</w:t>
      </w:r>
      <w:r>
        <w:rPr>
          <w:rFonts w:ascii="Arial" w:hAnsi="Arial" w:cs="Arial"/>
          <w:b w:val="0"/>
          <w:bCs w:val="0"/>
          <w:sz w:val="22"/>
          <w:szCs w:val="22"/>
        </w:rPr>
        <w:t xml:space="preserve">irst Reading, and to Introduce the </w:t>
      </w:r>
      <w:r w:rsidR="008E3950">
        <w:rPr>
          <w:rFonts w:ascii="Arial" w:hAnsi="Arial" w:cs="Arial"/>
          <w:b w:val="0"/>
          <w:bCs w:val="0"/>
          <w:sz w:val="22"/>
          <w:szCs w:val="22"/>
        </w:rPr>
        <w:t>Reach</w:t>
      </w:r>
      <w:r w:rsidRPr="007211B8">
        <w:rPr>
          <w:rFonts w:ascii="Arial" w:hAnsi="Arial" w:cs="Arial"/>
          <w:b w:val="0"/>
          <w:bCs w:val="0"/>
          <w:sz w:val="22"/>
          <w:szCs w:val="22"/>
        </w:rPr>
        <w:t xml:space="preserve"> Code Ordinance to be </w:t>
      </w:r>
      <w:r>
        <w:rPr>
          <w:rFonts w:ascii="Arial" w:hAnsi="Arial" w:cs="Arial"/>
          <w:b w:val="0"/>
          <w:bCs w:val="0"/>
          <w:sz w:val="22"/>
          <w:szCs w:val="22"/>
        </w:rPr>
        <w:t>A</w:t>
      </w:r>
      <w:r w:rsidRPr="007211B8">
        <w:rPr>
          <w:rFonts w:ascii="Arial" w:hAnsi="Arial" w:cs="Arial"/>
          <w:b w:val="0"/>
          <w:bCs w:val="0"/>
          <w:sz w:val="22"/>
          <w:szCs w:val="22"/>
        </w:rPr>
        <w:t>dopted by Reference</w:t>
      </w:r>
      <w:r>
        <w:rPr>
          <w:rFonts w:ascii="Arial" w:hAnsi="Arial" w:cs="Arial"/>
          <w:b w:val="0"/>
          <w:bCs w:val="0"/>
          <w:sz w:val="22"/>
          <w:szCs w:val="22"/>
        </w:rPr>
        <w:t>,</w:t>
      </w:r>
      <w:r w:rsidRPr="007211B8">
        <w:rPr>
          <w:rFonts w:ascii="Arial" w:hAnsi="Arial" w:cs="Arial"/>
          <w:b w:val="0"/>
          <w:bCs w:val="0"/>
          <w:sz w:val="22"/>
          <w:szCs w:val="22"/>
        </w:rPr>
        <w:t xml:space="preserve"> </w:t>
      </w:r>
      <w:r>
        <w:rPr>
          <w:rFonts w:ascii="Arial" w:hAnsi="Arial" w:cs="Arial"/>
          <w:b w:val="0"/>
          <w:bCs w:val="0"/>
          <w:sz w:val="22"/>
          <w:szCs w:val="22"/>
        </w:rPr>
        <w:t>to Schedule</w:t>
      </w:r>
      <w:r w:rsidRPr="007211B8">
        <w:rPr>
          <w:rFonts w:ascii="Arial" w:hAnsi="Arial" w:cs="Arial"/>
          <w:b w:val="0"/>
          <w:bCs w:val="0"/>
          <w:sz w:val="22"/>
          <w:szCs w:val="22"/>
        </w:rPr>
        <w:t xml:space="preserve"> Public</w:t>
      </w:r>
      <w:r>
        <w:rPr>
          <w:rFonts w:ascii="Arial" w:hAnsi="Arial" w:cs="Arial"/>
          <w:b w:val="0"/>
          <w:bCs w:val="0"/>
          <w:sz w:val="22"/>
          <w:szCs w:val="22"/>
        </w:rPr>
        <w:t xml:space="preserve"> </w:t>
      </w:r>
      <w:r w:rsidRPr="007211B8">
        <w:rPr>
          <w:rFonts w:ascii="Arial" w:hAnsi="Arial" w:cs="Arial"/>
          <w:b w:val="0"/>
          <w:bCs w:val="0"/>
          <w:sz w:val="22"/>
          <w:szCs w:val="22"/>
        </w:rPr>
        <w:t>Hearing</w:t>
      </w:r>
      <w:r>
        <w:rPr>
          <w:rFonts w:ascii="Arial" w:hAnsi="Arial" w:cs="Arial"/>
          <w:b w:val="0"/>
          <w:bCs w:val="0"/>
          <w:sz w:val="22"/>
          <w:szCs w:val="22"/>
        </w:rPr>
        <w:t xml:space="preserve"> to Waive the Second Reading </w:t>
      </w:r>
      <w:r w:rsidRPr="007211B8">
        <w:rPr>
          <w:rFonts w:ascii="Arial" w:hAnsi="Arial" w:cs="Arial"/>
          <w:b w:val="0"/>
          <w:bCs w:val="0"/>
          <w:sz w:val="22"/>
          <w:szCs w:val="22"/>
        </w:rPr>
        <w:t>for Adoption an</w:t>
      </w:r>
      <w:r>
        <w:rPr>
          <w:rFonts w:ascii="Arial" w:hAnsi="Arial" w:cs="Arial"/>
          <w:b w:val="0"/>
          <w:bCs w:val="0"/>
          <w:sz w:val="22"/>
          <w:szCs w:val="22"/>
        </w:rPr>
        <w:t xml:space="preserve">d </w:t>
      </w:r>
      <w:r w:rsidRPr="007211B8">
        <w:rPr>
          <w:rFonts w:ascii="Arial" w:hAnsi="Arial" w:cs="Arial"/>
          <w:b w:val="0"/>
          <w:bCs w:val="0"/>
          <w:sz w:val="22"/>
          <w:szCs w:val="22"/>
        </w:rPr>
        <w:t>Adopt Resolution Approving Findings of Necessity and Need for Amendments, Deletions and Additions to the</w:t>
      </w:r>
      <w:r>
        <w:rPr>
          <w:rFonts w:ascii="Arial" w:hAnsi="Arial" w:cs="Arial"/>
          <w:b w:val="0"/>
          <w:bCs w:val="0"/>
          <w:sz w:val="22"/>
          <w:szCs w:val="22"/>
        </w:rPr>
        <w:t xml:space="preserve"> </w:t>
      </w:r>
      <w:r w:rsidRPr="00A85E61" w:rsidR="00A85E61">
        <w:rPr>
          <w:rFonts w:ascii="Arial" w:hAnsi="Arial" w:cs="Arial"/>
          <w:b w:val="0"/>
          <w:bCs w:val="0"/>
          <w:sz w:val="22"/>
          <w:szCs w:val="22"/>
          <w:highlight w:val="lightGray"/>
        </w:rPr>
        <w:t>City/Town Name</w:t>
      </w:r>
      <w:r>
        <w:rPr>
          <w:rFonts w:ascii="Arial" w:hAnsi="Arial" w:cs="Arial"/>
          <w:b w:val="0"/>
          <w:bCs w:val="0"/>
          <w:sz w:val="22"/>
          <w:szCs w:val="22"/>
        </w:rPr>
        <w:t xml:space="preserve"> Municipal </w:t>
      </w:r>
      <w:r w:rsidRPr="007211B8">
        <w:rPr>
          <w:rFonts w:ascii="Arial" w:hAnsi="Arial" w:cs="Arial"/>
          <w:b w:val="0"/>
          <w:bCs w:val="0"/>
          <w:sz w:val="22"/>
          <w:szCs w:val="22"/>
        </w:rPr>
        <w:t>Codes</w:t>
      </w:r>
      <w:r w:rsidR="0093265A">
        <w:rPr>
          <w:rFonts w:ascii="Arial" w:hAnsi="Arial" w:cs="Arial"/>
          <w:sz w:val="22"/>
          <w:szCs w:val="22"/>
        </w:rPr>
        <w:t>.</w:t>
      </w:r>
    </w:p>
    <w:p w:rsidR="00A740E4" w:rsidP="002147A5" w:rsidRDefault="00A740E4" w14:paraId="56DECB4F" w14:textId="77777777">
      <w:pPr>
        <w:jc w:val="both"/>
        <w:rPr>
          <w:rFonts w:ascii="Arial" w:hAnsi="Arial" w:cs="Arial"/>
          <w:sz w:val="22"/>
          <w:szCs w:val="22"/>
        </w:rPr>
      </w:pPr>
    </w:p>
    <w:p w:rsidRPr="007A5330" w:rsidR="00DE28AE" w:rsidP="00DE28AE" w:rsidRDefault="185DBA32" w14:paraId="2903FB3B" w14:textId="77777777">
      <w:pPr>
        <w:jc w:val="both"/>
        <w:rPr>
          <w:rFonts w:ascii="Arial" w:hAnsi="Arial" w:cs="Arial"/>
          <w:b/>
          <w:bCs/>
          <w:sz w:val="22"/>
          <w:szCs w:val="22"/>
        </w:rPr>
      </w:pPr>
      <w:r w:rsidRPr="185DBA32">
        <w:rPr>
          <w:rFonts w:ascii="Arial" w:hAnsi="Arial" w:cs="Arial"/>
          <w:b/>
          <w:bCs/>
          <w:sz w:val="22"/>
          <w:szCs w:val="22"/>
        </w:rPr>
        <w:t>DISTRIBUTION:</w:t>
      </w:r>
    </w:p>
    <w:p w:rsidR="00DE28AE" w:rsidP="00DE28AE" w:rsidRDefault="00DE28AE" w14:paraId="10C82779" w14:textId="699F1257">
      <w:pPr>
        <w:jc w:val="both"/>
        <w:rPr>
          <w:rFonts w:ascii="Arial" w:hAnsi="Arial" w:cs="Arial"/>
          <w:sz w:val="22"/>
          <w:szCs w:val="22"/>
        </w:rPr>
      </w:pPr>
      <w:r w:rsidRPr="007A5330">
        <w:rPr>
          <w:rFonts w:ascii="Arial" w:hAnsi="Arial" w:cs="Arial"/>
          <w:sz w:val="22"/>
          <w:szCs w:val="22"/>
        </w:rPr>
        <w:t>California Building Standards Commission</w:t>
      </w:r>
    </w:p>
    <w:p w:rsidRPr="007A5330" w:rsidR="00DE28AE" w:rsidP="00DE28AE" w:rsidRDefault="00DE28AE" w14:paraId="168F7517" w14:textId="77777777">
      <w:pPr>
        <w:jc w:val="both"/>
        <w:rPr>
          <w:rFonts w:ascii="Arial" w:hAnsi="Arial" w:cs="Arial"/>
          <w:sz w:val="22"/>
          <w:szCs w:val="22"/>
        </w:rPr>
      </w:pPr>
    </w:p>
    <w:p w:rsidR="008F0CC5" w:rsidP="002147A5" w:rsidRDefault="185DBA32" w14:paraId="3C2A6D71" w14:textId="223C3DE5">
      <w:pPr>
        <w:jc w:val="both"/>
        <w:rPr>
          <w:rFonts w:ascii="Arial" w:hAnsi="Arial" w:cs="Arial"/>
          <w:b/>
          <w:bCs/>
          <w:sz w:val="22"/>
          <w:szCs w:val="22"/>
        </w:rPr>
      </w:pPr>
      <w:r w:rsidRPr="185DBA32">
        <w:rPr>
          <w:rFonts w:ascii="Arial" w:hAnsi="Arial" w:cs="Arial"/>
          <w:b/>
          <w:bCs/>
          <w:sz w:val="22"/>
          <w:szCs w:val="22"/>
        </w:rPr>
        <w:t>ATTACHMENTS:</w:t>
      </w:r>
    </w:p>
    <w:p w:rsidR="000F0FDC" w:rsidP="00447787" w:rsidRDefault="00540397" w14:paraId="42B5566D" w14:textId="21C26DFC">
      <w:pPr>
        <w:pStyle w:val="ListParagraph"/>
        <w:numPr>
          <w:ilvl w:val="0"/>
          <w:numId w:val="4"/>
        </w:numPr>
        <w:tabs>
          <w:tab w:val="clear" w:pos="720"/>
          <w:tab w:val="num" w:pos="360"/>
        </w:tabs>
        <w:spacing w:after="0"/>
        <w:ind w:left="360" w:hanging="360"/>
        <w:jc w:val="both"/>
        <w:rPr>
          <w:rFonts w:ascii="Arial" w:hAnsi="Arial" w:eastAsia="Times New Roman" w:cs="Arial"/>
        </w:rPr>
      </w:pPr>
      <w:r>
        <w:rPr>
          <w:rFonts w:ascii="Arial" w:hAnsi="Arial" w:eastAsia="Times New Roman" w:cs="Arial"/>
        </w:rPr>
        <w:t>Proposed All-Electric Ordinance</w:t>
      </w:r>
    </w:p>
    <w:p w:rsidR="00540397" w:rsidP="00540397" w:rsidRDefault="00540397" w14:paraId="5EBD73D2" w14:textId="77777777">
      <w:pPr>
        <w:pStyle w:val="ListParagraph"/>
        <w:numPr>
          <w:ilvl w:val="0"/>
          <w:numId w:val="4"/>
        </w:numPr>
        <w:tabs>
          <w:tab w:val="clear" w:pos="720"/>
          <w:tab w:val="num" w:pos="360"/>
        </w:tabs>
        <w:spacing w:after="0"/>
        <w:ind w:left="360" w:hanging="360"/>
        <w:jc w:val="both"/>
        <w:rPr>
          <w:rFonts w:ascii="Arial" w:hAnsi="Arial" w:eastAsia="Times New Roman" w:cs="Arial"/>
        </w:rPr>
      </w:pPr>
      <w:r>
        <w:rPr>
          <w:rFonts w:ascii="Arial" w:hAnsi="Arial" w:eastAsia="Times New Roman" w:cs="Arial"/>
        </w:rPr>
        <w:t>Proposed Electric Vehicle Charging Ordinance</w:t>
      </w:r>
    </w:p>
    <w:p w:rsidRPr="001C15B8" w:rsidR="00540397" w:rsidP="103354F8" w:rsidRDefault="103354F8" w14:paraId="39DA6199" w14:textId="5678C400">
      <w:pPr>
        <w:pStyle w:val="ListParagraph"/>
        <w:numPr>
          <w:ilvl w:val="0"/>
          <w:numId w:val="4"/>
        </w:numPr>
        <w:tabs>
          <w:tab w:val="clear" w:pos="720"/>
          <w:tab w:val="num" w:pos="360"/>
        </w:tabs>
        <w:spacing w:after="0"/>
        <w:ind w:left="360" w:hanging="360"/>
        <w:jc w:val="both"/>
        <w:rPr>
          <w:rFonts w:ascii="Arial" w:hAnsi="Arial" w:eastAsia="Arial" w:cs="Arial"/>
        </w:rPr>
      </w:pPr>
      <w:r w:rsidRPr="103354F8">
        <w:rPr>
          <w:rFonts w:ascii="Arial" w:hAnsi="Arial" w:cs="Arial"/>
        </w:rPr>
        <w:t>Cost Effectiveness Studies by the Statewide Programs team</w:t>
      </w:r>
    </w:p>
    <w:p w:rsidR="00540397" w:rsidP="00540397" w:rsidRDefault="00540397" w14:paraId="365D5683" w14:textId="77777777">
      <w:pPr>
        <w:jc w:val="both"/>
        <w:rPr>
          <w:rFonts w:ascii="Arial" w:hAnsi="Arial" w:cs="Arial"/>
          <w:color w:val="000000" w:themeColor="text1"/>
        </w:rPr>
      </w:pPr>
    </w:p>
    <w:p w:rsidRPr="00540397" w:rsidR="00DE28AE" w:rsidP="00540397" w:rsidRDefault="00DE28AE" w14:paraId="10508FF5" w14:textId="19FDBD8C">
      <w:pPr>
        <w:jc w:val="both"/>
        <w:rPr>
          <w:rFonts w:ascii="Arial" w:hAnsi="Arial" w:cs="Arial"/>
          <w:b/>
          <w:bCs/>
          <w:sz w:val="22"/>
          <w:szCs w:val="22"/>
        </w:rPr>
      </w:pPr>
      <w:r w:rsidRPr="00540397">
        <w:rPr>
          <w:rFonts w:ascii="Arial" w:hAnsi="Arial" w:cs="Arial"/>
          <w:b/>
          <w:bCs/>
          <w:sz w:val="22"/>
          <w:szCs w:val="22"/>
        </w:rPr>
        <w:t>DATE PREPARED:</w:t>
      </w:r>
    </w:p>
    <w:p w:rsidRPr="00540397" w:rsidR="00DE28AE" w:rsidP="00DE28AE" w:rsidRDefault="00540397" w14:paraId="7DAF6CD6" w14:textId="2BF95BD7">
      <w:pPr>
        <w:rPr>
          <w:rFonts w:ascii="Arial" w:hAnsi="Arial" w:cs="Arial"/>
          <w:sz w:val="22"/>
          <w:szCs w:val="22"/>
          <w:highlight w:val="lightGray"/>
        </w:rPr>
      </w:pPr>
      <w:r w:rsidRPr="00540397">
        <w:rPr>
          <w:rFonts w:ascii="Arial" w:hAnsi="Arial" w:cs="Arial"/>
          <w:sz w:val="22"/>
          <w:szCs w:val="22"/>
          <w:highlight w:val="lightGray"/>
        </w:rPr>
        <w:t>March</w:t>
      </w:r>
      <w:r w:rsidRPr="00540397" w:rsidR="004C58C2">
        <w:rPr>
          <w:rFonts w:ascii="Arial" w:hAnsi="Arial" w:cs="Arial"/>
          <w:sz w:val="22"/>
          <w:szCs w:val="22"/>
          <w:highlight w:val="lightGray"/>
        </w:rPr>
        <w:t xml:space="preserve"> </w:t>
      </w:r>
      <w:r w:rsidRPr="00540397">
        <w:rPr>
          <w:rFonts w:ascii="Arial" w:hAnsi="Arial" w:cs="Arial"/>
          <w:sz w:val="22"/>
          <w:szCs w:val="22"/>
          <w:highlight w:val="lightGray"/>
        </w:rPr>
        <w:t>2</w:t>
      </w:r>
      <w:r w:rsidRPr="00540397" w:rsidR="004C58C2">
        <w:rPr>
          <w:rFonts w:ascii="Arial" w:hAnsi="Arial" w:cs="Arial"/>
          <w:sz w:val="22"/>
          <w:szCs w:val="22"/>
          <w:highlight w:val="lightGray"/>
        </w:rPr>
        <w:t>3</w:t>
      </w:r>
      <w:r w:rsidRPr="00540397" w:rsidR="00DE28AE">
        <w:rPr>
          <w:rFonts w:ascii="Arial" w:hAnsi="Arial" w:cs="Arial"/>
          <w:sz w:val="22"/>
          <w:szCs w:val="22"/>
          <w:highlight w:val="lightGray"/>
        </w:rPr>
        <w:t>, 202</w:t>
      </w:r>
      <w:r w:rsidR="002C0C00">
        <w:rPr>
          <w:rFonts w:ascii="Arial" w:hAnsi="Arial" w:cs="Arial"/>
          <w:sz w:val="22"/>
          <w:szCs w:val="22"/>
          <w:highlight w:val="lightGray"/>
        </w:rPr>
        <w:t>2</w:t>
      </w:r>
    </w:p>
    <w:p w:rsidRPr="00CD6A09" w:rsidR="00BD78BA" w:rsidP="00DE28AE" w:rsidRDefault="00BD78BA" w14:paraId="7AC758FC" w14:textId="2471C8BC">
      <w:pPr>
        <w:jc w:val="both"/>
        <w:rPr>
          <w:rFonts w:ascii="Arial" w:hAnsi="Arial" w:cs="Arial"/>
          <w:sz w:val="22"/>
          <w:szCs w:val="22"/>
        </w:rPr>
      </w:pPr>
    </w:p>
    <w:sectPr w:rsidRPr="00CD6A09" w:rsidR="00BD78BA" w:rsidSect="00100B19">
      <w:pgSz w:w="12240" w:h="15840" w:code="1"/>
      <w:pgMar w:top="1440" w:right="1440" w:bottom="720" w:left="1440" w:header="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VM" w:author="Vega, Mayra" w:date="2023-01-30T13:40:00Z" w:id="6">
    <w:p w:rsidR="714D9301" w:rsidRDefault="714D9301" w14:paraId="726CF5F5" w14:textId="48C79927">
      <w:pPr>
        <w:pStyle w:val="CommentText"/>
      </w:pPr>
      <w:r>
        <w:t xml:space="preserve">I can update the staff report when we get the CCCE cost-effectiveness report </w:t>
      </w:r>
      <w:r>
        <w:rPr>
          <w:rStyle w:val="CommentReference"/>
        </w:rPr>
        <w:annotationRef/>
      </w:r>
    </w:p>
  </w:comment>
  <w:comment w:initials="FF" w:author="Farhad Farahmand" w:date="2022-07-09T08:57:00Z" w:id="7">
    <w:p w:rsidR="009118DF" w:rsidP="285FB620" w:rsidRDefault="009118DF" w14:paraId="2F45F58B" w14:textId="491C2B63">
      <w:pPr>
        <w:pStyle w:val="CommentText"/>
      </w:pPr>
      <w:r>
        <w:rPr>
          <w:rStyle w:val="CommentReference"/>
        </w:rPr>
        <w:annotationRef/>
      </w:r>
      <w:r>
        <w:rPr>
          <w:rStyle w:val="CommentReference"/>
        </w:rPr>
        <w:annotationRef/>
      </w:r>
      <w:r w:rsidR="285FB620">
        <w:t>Staff: Choose only one of the High or Low power options. Delete the unused option.</w:t>
      </w:r>
      <w:r>
        <w:rPr>
          <w:rStyle w:val="CommentReference"/>
        </w:rPr>
        <w:annotationRef/>
      </w:r>
    </w:p>
    <w:p w:rsidR="009118DF" w:rsidP="285FB620" w:rsidRDefault="009118DF" w14:paraId="069E7F88" w14:textId="5F40F4BB">
      <w:pPr>
        <w:pStyle w:val="CommentText"/>
      </w:pPr>
    </w:p>
    <w:p w:rsidR="009118DF" w:rsidP="285FB620" w:rsidRDefault="285FB620" w14:paraId="6D7D16D3" w14:textId="2E719298">
      <w:pPr>
        <w:pStyle w:val="CommentText"/>
      </w:pPr>
      <w:r>
        <w:t>Alternatively, the Low Power option could be designated for Affordable Housing due to lower costs.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6CF5F5" w15:done="0"/>
  <w15:commentEx w15:paraId="6D7D16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177DB" w16cex:dateUtc="2023-01-30T21:40:00Z"/>
  <w16cex:commentExtensible w16cex:durableId="2673C185" w16cex:dateUtc="2022-07-09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CF5F5" w16cid:durableId="29F177DB"/>
  <w16cid:commentId w16cid:paraId="6D7D16D3" w16cid:durableId="2673C1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24F9" w:rsidRDefault="00A524F9" w14:paraId="02A76B2B" w14:textId="77777777">
      <w:r>
        <w:separator/>
      </w:r>
    </w:p>
  </w:endnote>
  <w:endnote w:type="continuationSeparator" w:id="0">
    <w:p w:rsidR="00A524F9" w:rsidRDefault="00A524F9" w14:paraId="4CD286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7420" w:rsidRDefault="00D67420" w14:paraId="32E55C9D"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7420" w:rsidRDefault="00D67420" w14:paraId="241EC03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7420" w:rsidRDefault="00D67420" w14:paraId="5DE8E13A"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67420" w:rsidRDefault="00D67420" w14:paraId="4A1549B5"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7420" w:rsidRDefault="00D67420" w14:paraId="0A8E3DB0"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7420" w:rsidRDefault="00D67420" w14:paraId="0DE14AE1" w14:textId="777777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7420" w:rsidRDefault="00D67420" w14:paraId="4D7312FF" w14:textId="77777777">
    <w:pPr>
      <w:pStyle w:val="Footer"/>
      <w:framePr w:wrap="around" w:hAnchor="margin" w:vAnchor="text" w:xAlign="right" w:y="1"/>
      <w:rPr>
        <w:rStyle w:val="PageNumber"/>
      </w:rPr>
    </w:pPr>
  </w:p>
  <w:p w:rsidR="00D67420" w:rsidRDefault="00D67420" w14:paraId="52ACB0CE"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24F9" w:rsidRDefault="00A524F9" w14:paraId="24C32B40" w14:textId="77777777">
      <w:r>
        <w:separator/>
      </w:r>
    </w:p>
  </w:footnote>
  <w:footnote w:type="continuationSeparator" w:id="0">
    <w:p w:rsidR="00A524F9" w:rsidRDefault="00A524F9" w14:paraId="4DB74E0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7420" w:rsidRDefault="00D67420" w14:paraId="7DDEBB4A" w14:textId="77777777">
    <w:pPr>
      <w:pStyle w:val="Header"/>
      <w:tabs>
        <w:tab w:val="clear" w:pos="4320"/>
        <w:tab w:val="clear" w:pos="8640"/>
        <w:tab w:val="right" w:pos="10080"/>
      </w:tabs>
      <w:ind w:left="-720" w:right="-720"/>
      <w:rPr>
        <w:rFonts w:ascii="Arial" w:hAnsi="Arial" w:cs="Arial"/>
        <w:b/>
        <w:bCs/>
        <w:sz w:val="20"/>
      </w:rPr>
    </w:pPr>
    <w:r>
      <w:rPr>
        <w:rFonts w:ascii="Arial" w:hAnsi="Arial" w:cs="Arial"/>
        <w:b/>
        <w:bCs/>
        <w:sz w:val="20"/>
      </w:rPr>
      <w:t>Fill vacancies on committees, boards, and commissions.</w:t>
    </w:r>
  </w:p>
  <w:p w:rsidR="00D67420" w:rsidRDefault="00D67420" w14:paraId="64C40496" w14:textId="77777777">
    <w:pPr>
      <w:pStyle w:val="Header"/>
      <w:pBdr>
        <w:bottom w:val="single" w:color="auto" w:sz="4" w:space="1"/>
      </w:pBdr>
      <w:tabs>
        <w:tab w:val="clear" w:pos="4320"/>
        <w:tab w:val="clear" w:pos="8640"/>
        <w:tab w:val="right" w:pos="10080"/>
      </w:tabs>
      <w:ind w:left="-720" w:right="-720"/>
      <w:rPr>
        <w:rFonts w:ascii="Arial" w:hAnsi="Arial" w:cs="Arial"/>
        <w:b/>
        <w:bCs/>
        <w:sz w:val="20"/>
      </w:rPr>
    </w:pPr>
    <w:r>
      <w:rPr>
        <w:rFonts w:ascii="Arial" w:hAnsi="Arial" w:cs="Arial"/>
        <w:b/>
        <w:bCs/>
        <w:sz w:val="20"/>
      </w:rPr>
      <w:t>October 26, 2004</w:t>
    </w:r>
  </w:p>
  <w:p w:rsidR="00D67420" w:rsidRDefault="00D67420" w14:paraId="4EF0CE53" w14:textId="77777777">
    <w:pPr>
      <w:pStyle w:val="Header"/>
      <w:pBdr>
        <w:bottom w:val="single" w:color="auto" w:sz="4" w:space="1"/>
      </w:pBdr>
      <w:tabs>
        <w:tab w:val="clear" w:pos="4320"/>
        <w:tab w:val="clear" w:pos="8640"/>
        <w:tab w:val="right" w:pos="10080"/>
      </w:tabs>
      <w:ind w:left="-720" w:right="-720"/>
      <w:rPr>
        <w:rFonts w:ascii="Arial" w:hAnsi="Arial" w:cs="Arial"/>
        <w:b/>
        <w:bCs/>
        <w:sz w:val="20"/>
      </w:rPr>
    </w:pPr>
    <w:r>
      <w:rPr>
        <w:rFonts w:ascii="Arial" w:hAnsi="Arial" w:cs="Arial"/>
        <w:b/>
        <w:bCs/>
        <w:sz w:val="20"/>
      </w:rPr>
      <w:t xml:space="preserve">Page </w:t>
    </w:r>
    <w:r>
      <w:rPr>
        <w:rFonts w:ascii="Arial" w:hAnsi="Arial" w:cs="Arial"/>
        <w:b/>
        <w:bCs/>
        <w:sz w:val="20"/>
      </w:rPr>
      <w:fldChar w:fldCharType="begin"/>
    </w:r>
    <w:r>
      <w:rPr>
        <w:rFonts w:ascii="Arial" w:hAnsi="Arial" w:cs="Arial"/>
        <w:b/>
        <w:bCs/>
        <w:sz w:val="20"/>
      </w:rPr>
      <w:instrText xml:space="preserve"> PAGE </w:instrText>
    </w:r>
    <w:r>
      <w:rPr>
        <w:rFonts w:ascii="Arial" w:hAnsi="Arial" w:cs="Arial"/>
        <w:b/>
        <w:bCs/>
        <w:sz w:val="20"/>
      </w:rPr>
      <w:fldChar w:fldCharType="separate"/>
    </w:r>
    <w:r>
      <w:rPr>
        <w:rFonts w:ascii="Arial" w:hAnsi="Arial" w:cs="Arial"/>
        <w:b/>
        <w:bCs/>
        <w:noProof/>
        <w:sz w:val="20"/>
      </w:rPr>
      <w:t>3</w:t>
    </w:r>
    <w:r>
      <w:rPr>
        <w:rFonts w:ascii="Arial" w:hAnsi="Arial" w:cs="Arial"/>
        <w:b/>
        <w:bCs/>
        <w:sz w:val="20"/>
      </w:rPr>
      <w:fldChar w:fldCharType="end"/>
    </w:r>
    <w:r>
      <w:rPr>
        <w:rFonts w:ascii="Arial" w:hAnsi="Arial" w:cs="Arial"/>
        <w:b/>
        <w:bCs/>
        <w:sz w:val="20"/>
      </w:rPr>
      <w:t xml:space="preserve"> of </w:t>
    </w:r>
    <w:r>
      <w:rPr>
        <w:rFonts w:ascii="Arial" w:hAnsi="Arial" w:cs="Arial"/>
        <w:b/>
        <w:bCs/>
        <w:sz w:val="20"/>
      </w:rPr>
      <w:fldChar w:fldCharType="begin"/>
    </w:r>
    <w:r>
      <w:rPr>
        <w:rFonts w:ascii="Arial" w:hAnsi="Arial" w:cs="Arial"/>
        <w:b/>
        <w:bCs/>
        <w:sz w:val="20"/>
      </w:rPr>
      <w:instrText xml:space="preserve"> NUMPAGES </w:instrText>
    </w:r>
    <w:r>
      <w:rPr>
        <w:rFonts w:ascii="Arial" w:hAnsi="Arial" w:cs="Arial"/>
        <w:b/>
        <w:bCs/>
        <w:sz w:val="20"/>
      </w:rPr>
      <w:fldChar w:fldCharType="separate"/>
    </w:r>
    <w:r w:rsidR="00776C94">
      <w:rPr>
        <w:rFonts w:ascii="Arial" w:hAnsi="Arial" w:cs="Arial"/>
        <w:b/>
        <w:bCs/>
        <w:noProof/>
        <w:sz w:val="20"/>
      </w:rPr>
      <w:t>7</w:t>
    </w:r>
    <w:r>
      <w:rPr>
        <w:rFonts w:ascii="Arial" w:hAnsi="Arial" w:cs="Arial"/>
        <w:b/>
        <w:bCs/>
        <w:sz w:val="20"/>
      </w:rPr>
      <w:fldChar w:fldCharType="end"/>
    </w:r>
  </w:p>
  <w:p w:rsidR="00D67420" w:rsidRDefault="00D67420" w14:paraId="07282C35" w14:textId="77777777">
    <w:pPr>
      <w:pStyle w:val="Header"/>
      <w:tabs>
        <w:tab w:val="clear" w:pos="4320"/>
        <w:tab w:val="clear" w:pos="8640"/>
        <w:tab w:val="right" w:pos="10080"/>
      </w:tabs>
      <w:ind w:left="-720" w:right="-720"/>
      <w:rPr>
        <w:rFonts w:ascii="Arial" w:hAnsi="Arial" w:cs="Arial"/>
        <w:b/>
        <w:bCs/>
        <w:sz w:val="20"/>
      </w:rPr>
    </w:pPr>
  </w:p>
  <w:p w:rsidR="00D67420" w:rsidRDefault="00D67420" w14:paraId="2B34AFDE" w14:textId="77777777">
    <w:pPr>
      <w:pStyle w:val="Header"/>
      <w:tabs>
        <w:tab w:val="clear" w:pos="4320"/>
        <w:tab w:val="clear" w:pos="8640"/>
        <w:tab w:val="right" w:pos="10080"/>
      </w:tabs>
      <w:ind w:left="-720" w:right="-720"/>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D67420" w:rsidRDefault="00E67655" w14:paraId="4111F531" w14:textId="061FC407">
    <w:pPr>
      <w:pStyle w:val="Header"/>
      <w:tabs>
        <w:tab w:val="clear" w:pos="4320"/>
      </w:tabs>
      <w:jc w:val="center"/>
      <w:rPr>
        <w:rFonts w:ascii="Arial" w:hAnsi="Arial" w:cs="Arial"/>
        <w:b/>
        <w:bCs/>
        <w:sz w:val="20"/>
      </w:rPr>
    </w:pPr>
    <w:r w:rsidRPr="00A85E61">
      <w:rPr>
        <w:rFonts w:ascii="Arial" w:hAnsi="Arial" w:cs="Arial"/>
        <w:b/>
        <w:bCs/>
        <w:noProof/>
        <w:sz w:val="20"/>
      </w:rPr>
      <mc:AlternateContent>
        <mc:Choice Requires="wps">
          <w:drawing>
            <wp:anchor distT="0" distB="0" distL="114300" distR="114300" simplePos="0" relativeHeight="251659264" behindDoc="1" locked="0" layoutInCell="1" allowOverlap="1" wp14:anchorId="0739A7AD" wp14:editId="6C5FEAFB">
              <wp:simplePos x="0" y="0"/>
              <wp:positionH relativeFrom="column">
                <wp:posOffset>-127136</wp:posOffset>
              </wp:positionH>
              <wp:positionV relativeFrom="paragraph">
                <wp:posOffset>95352</wp:posOffset>
              </wp:positionV>
              <wp:extent cx="1227350" cy="738366"/>
              <wp:effectExtent l="0" t="0" r="114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350" cy="738366"/>
                      </a:xfrm>
                      <a:prstGeom prst="rect">
                        <a:avLst/>
                      </a:prstGeom>
                      <a:solidFill>
                        <a:schemeClr val="accent3">
                          <a:lumMod val="60000"/>
                          <a:lumOff val="40000"/>
                        </a:schemeClr>
                      </a:solidFill>
                      <a:ln w="9525">
                        <a:solidFill>
                          <a:srgbClr val="000000"/>
                        </a:solidFill>
                        <a:miter lim="800000"/>
                        <a:headEnd/>
                        <a:tailEnd/>
                      </a:ln>
                    </wps:spPr>
                    <wps:txbx>
                      <w:txbxContent>
                        <w:p w:rsidR="00E67655" w:rsidP="00E67655" w:rsidRDefault="00E67655" w14:paraId="54FC833A" w14:textId="77777777">
                          <w:r>
                            <w:t>Jurisdiction logo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3B91BE79">
            <v:shapetype id="_x0000_t202" coordsize="21600,21600" o:spt="202" path="m,l,21600r21600,l21600,xe" w14:anchorId="0739A7AD">
              <v:stroke joinstyle="miter"/>
              <v:path gradientshapeok="t" o:connecttype="rect"/>
            </v:shapetype>
            <v:shape id="Text Box 2" style="position:absolute;left:0;text-align:left;margin-left:-10pt;margin-top:7.5pt;width:96.65pt;height:5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c9c9c9 [19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">
              <v:textbox>
                <w:txbxContent>
                  <w:p w:rsidR="00E67655" w:rsidP="00E67655" w:rsidRDefault="00E67655" w14:paraId="60B8B58C" w14:textId="77777777">
                    <w:r>
                      <w:t>Jurisdiction logo</w:t>
                    </w:r>
                  </w:p>
                </w:txbxContent>
              </v:textbox>
            </v:shape>
          </w:pict>
        </mc:Fallback>
      </mc:AlternateContent>
    </w:r>
  </w:p>
  <w:p w:rsidR="00D67420" w:rsidP="00E67655" w:rsidRDefault="00D67420" w14:paraId="68F83004" w14:textId="4FF1E17F">
    <w:pPr>
      <w:pStyle w:val="Header"/>
      <w:tabs>
        <w:tab w:val="clear" w:pos="4320"/>
      </w:tabs>
      <w:jc w:val="center"/>
      <w:rPr>
        <w:rFonts w:ascii="Arial" w:hAnsi="Arial" w:cs="Arial"/>
        <w:b/>
        <w:bCs/>
      </w:rPr>
    </w:pPr>
    <w:r>
      <w:rPr>
        <w:rFonts w:ascii="Arial" w:hAnsi="Arial" w:cs="Arial"/>
        <w:b/>
        <w:bCs/>
      </w:rPr>
      <w:t>City Council Agenda Item</w:t>
    </w:r>
  </w:p>
  <w:p w:rsidR="00D67420" w:rsidP="00E67655" w:rsidRDefault="00D67420" w14:paraId="1456F3C8" w14:textId="19C7193C">
    <w:pPr>
      <w:pStyle w:val="Header"/>
      <w:tabs>
        <w:tab w:val="clear" w:pos="4320"/>
      </w:tabs>
      <w:jc w:val="center"/>
      <w:rPr>
        <w:rFonts w:ascii="Arial" w:hAnsi="Arial" w:cs="Arial"/>
        <w:b/>
        <w:bCs/>
      </w:rPr>
    </w:pPr>
    <w:r>
      <w:rPr>
        <w:rFonts w:ascii="Arial" w:hAnsi="Arial" w:cs="Arial"/>
        <w:b/>
        <w:bCs/>
      </w:rPr>
      <w:t>Staff Report</w:t>
    </w:r>
  </w:p>
  <w:p w:rsidR="00D67420" w:rsidRDefault="00D67420" w14:paraId="66D2E977" w14:textId="1C67AE79">
    <w:pPr>
      <w:pStyle w:val="Header"/>
      <w:tabs>
        <w:tab w:val="clear" w:pos="4320"/>
      </w:tabs>
      <w:jc w:val="center"/>
      <w:rPr>
        <w:rFonts w:ascii="Arial" w:hAnsi="Arial" w:cs="Arial"/>
        <w:b/>
        <w:bCs/>
        <w:sz w:val="22"/>
      </w:rPr>
    </w:pPr>
  </w:p>
  <w:p w:rsidR="00D67420" w:rsidRDefault="00D67420" w14:paraId="445361B5" w14:textId="67E289A6">
    <w:pPr>
      <w:pStyle w:val="Header"/>
      <w:tabs>
        <w:tab w:val="clear" w:pos="4320"/>
      </w:tabs>
      <w:jc w:val="center"/>
      <w:rPr>
        <w:rFonts w:ascii="Arial" w:hAnsi="Arial" w:cs="Arial"/>
        <w:b/>
        <w:bCs/>
        <w:sz w:val="22"/>
      </w:rPr>
    </w:pPr>
  </w:p>
  <w:p w:rsidR="00D67420" w:rsidRDefault="00D67420" w14:paraId="4DD830AC" w14:textId="6FFA306D">
    <w:pPr>
      <w:pStyle w:val="Header"/>
      <w:pBdr>
        <w:bottom w:val="single" w:color="auto" w:sz="4" w:space="1"/>
      </w:pBdr>
      <w:tabs>
        <w:tab w:val="clear" w:pos="4320"/>
        <w:tab w:val="clear" w:pos="8640"/>
        <w:tab w:val="right" w:pos="10080"/>
      </w:tabs>
      <w:ind w:left="-720" w:right="-720"/>
      <w:rPr>
        <w:sz w:val="22"/>
      </w:rPr>
    </w:pPr>
    <w:r>
      <w:rPr>
        <w:rFonts w:ascii="Arial" w:hAnsi="Arial" w:cs="Arial"/>
        <w:sz w:val="16"/>
      </w:rPr>
      <w:tab/>
    </w:r>
    <w:r w:rsidRPr="00A85E61">
      <w:rPr>
        <w:sz w:val="22"/>
        <w:highlight w:val="lightGray"/>
      </w:rPr>
      <w:t>CITY</w:t>
    </w:r>
    <w:r w:rsidR="00A85E61">
      <w:rPr>
        <w:sz w:val="22"/>
        <w:highlight w:val="lightGray"/>
      </w:rPr>
      <w:t>/TOWN</w:t>
    </w:r>
    <w:r w:rsidRPr="00A85E61">
      <w:rPr>
        <w:sz w:val="22"/>
        <w:highlight w:val="lightGray"/>
      </w:rPr>
      <w:t xml:space="preserve"> OF </w:t>
    </w:r>
    <w:r w:rsidRPr="00A85E61" w:rsidR="00A85E61">
      <w:rPr>
        <w:sz w:val="22"/>
        <w:highlight w:val="lightGray"/>
      </w:rPr>
      <w:t>XX</w:t>
    </w:r>
  </w:p>
  <w:p w:rsidR="00D67420" w:rsidRDefault="00D67420" w14:paraId="79D0211B" w14:textId="74FBC5E4">
    <w:pPr>
      <w:pStyle w:val="Header"/>
      <w:rPr>
        <w:rFonts w:ascii="Arial" w:hAnsi="Arial" w:cs="Arial"/>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7420" w:rsidRDefault="00D67420" w14:paraId="60C84CB3" w14:textId="77777777">
    <w:pPr>
      <w:pStyle w:val="Header"/>
    </w:pPr>
  </w:p>
  <w:p w:rsidRPr="00776E9E" w:rsidR="00D67420" w:rsidP="00776E9E" w:rsidRDefault="00D67420" w14:paraId="7F335261" w14:textId="77777777">
    <w:pPr>
      <w:pStyle w:val="Header"/>
      <w:rPr>
        <w:rFonts w:ascii="Arial" w:hAnsi="Arial" w:cs="Arial"/>
        <w:b/>
        <w:sz w:val="20"/>
        <w:szCs w:val="20"/>
      </w:rPr>
    </w:pPr>
    <w:r w:rsidRPr="00776E9E">
      <w:rPr>
        <w:rFonts w:ascii="Arial" w:hAnsi="Arial" w:cs="Arial"/>
        <w:b/>
        <w:sz w:val="20"/>
        <w:szCs w:val="20"/>
      </w:rPr>
      <w:t>Honorable Mayor and Members of the City Council</w:t>
    </w:r>
  </w:p>
  <w:p w:rsidR="00691925" w:rsidP="00776E9E" w:rsidRDefault="00691925" w14:paraId="03619286" w14:textId="77777777">
    <w:pPr>
      <w:pStyle w:val="Header"/>
      <w:rPr>
        <w:rFonts w:ascii="Arial" w:hAnsi="Arial" w:cs="Arial"/>
        <w:b/>
        <w:sz w:val="20"/>
        <w:szCs w:val="20"/>
      </w:rPr>
    </w:pPr>
    <w:r>
      <w:rPr>
        <w:rFonts w:ascii="Arial" w:hAnsi="Arial" w:cs="Arial"/>
        <w:b/>
        <w:sz w:val="20"/>
        <w:szCs w:val="20"/>
        <w:highlight w:val="lightGray"/>
      </w:rPr>
      <w:t>January 11, 2023</w:t>
    </w:r>
  </w:p>
  <w:p w:rsidRPr="00776E9E" w:rsidR="00D67420" w:rsidP="00776E9E" w:rsidRDefault="00900020" w14:paraId="7A75315D" w14:textId="7EF11FE5">
    <w:pPr>
      <w:pStyle w:val="Header"/>
      <w:rPr>
        <w:sz w:val="20"/>
        <w:szCs w:val="20"/>
      </w:rPr>
    </w:pPr>
    <w:sdt>
      <w:sdtPr>
        <w:rPr>
          <w:rFonts w:ascii="Arial" w:hAnsi="Arial" w:cs="Arial"/>
          <w:b/>
          <w:sz w:val="20"/>
          <w:szCs w:val="20"/>
        </w:rPr>
        <w:id w:val="98381352"/>
        <w:docPartObj>
          <w:docPartGallery w:val="Page Numbers (Top of Page)"/>
          <w:docPartUnique/>
        </w:docPartObj>
      </w:sdtPr>
      <w:sdtEndPr/>
      <w:sdtContent>
        <w:r w:rsidRPr="00776E9E" w:rsidR="00D67420">
          <w:rPr>
            <w:rFonts w:ascii="Arial" w:hAnsi="Arial" w:cs="Arial"/>
            <w:b/>
            <w:sz w:val="20"/>
            <w:szCs w:val="20"/>
          </w:rPr>
          <w:t xml:space="preserve">Page </w:t>
        </w:r>
        <w:r w:rsidRPr="00776E9E" w:rsidR="00D67420">
          <w:rPr>
            <w:rFonts w:ascii="Arial" w:hAnsi="Arial" w:cs="Arial"/>
            <w:b/>
            <w:bCs/>
            <w:sz w:val="20"/>
            <w:szCs w:val="20"/>
          </w:rPr>
          <w:fldChar w:fldCharType="begin"/>
        </w:r>
        <w:r w:rsidRPr="00776E9E" w:rsidR="00D67420">
          <w:rPr>
            <w:rFonts w:ascii="Arial" w:hAnsi="Arial" w:cs="Arial"/>
            <w:b/>
            <w:bCs/>
            <w:sz w:val="20"/>
            <w:szCs w:val="20"/>
          </w:rPr>
          <w:instrText xml:space="preserve"> PAGE </w:instrText>
        </w:r>
        <w:r w:rsidRPr="00776E9E" w:rsidR="00D67420">
          <w:rPr>
            <w:rFonts w:ascii="Arial" w:hAnsi="Arial" w:cs="Arial"/>
            <w:b/>
            <w:bCs/>
            <w:sz w:val="20"/>
            <w:szCs w:val="20"/>
          </w:rPr>
          <w:fldChar w:fldCharType="separate"/>
        </w:r>
        <w:r w:rsidR="00776C94">
          <w:rPr>
            <w:rFonts w:ascii="Arial" w:hAnsi="Arial" w:cs="Arial"/>
            <w:b/>
            <w:bCs/>
            <w:noProof/>
            <w:sz w:val="20"/>
            <w:szCs w:val="20"/>
          </w:rPr>
          <w:t>5</w:t>
        </w:r>
        <w:r w:rsidRPr="00776E9E" w:rsidR="00D67420">
          <w:rPr>
            <w:rFonts w:ascii="Arial" w:hAnsi="Arial" w:cs="Arial"/>
            <w:b/>
            <w:bCs/>
            <w:sz w:val="20"/>
            <w:szCs w:val="20"/>
          </w:rPr>
          <w:fldChar w:fldCharType="end"/>
        </w:r>
        <w:r w:rsidRPr="00776E9E" w:rsidR="00D67420">
          <w:rPr>
            <w:rFonts w:ascii="Arial" w:hAnsi="Arial" w:cs="Arial"/>
            <w:b/>
            <w:sz w:val="20"/>
            <w:szCs w:val="20"/>
          </w:rPr>
          <w:t xml:space="preserve"> of </w:t>
        </w:r>
        <w:r w:rsidRPr="00776E9E" w:rsidR="00D67420">
          <w:rPr>
            <w:rFonts w:ascii="Arial" w:hAnsi="Arial" w:cs="Arial"/>
            <w:b/>
            <w:bCs/>
            <w:sz w:val="20"/>
            <w:szCs w:val="20"/>
          </w:rPr>
          <w:fldChar w:fldCharType="begin"/>
        </w:r>
        <w:r w:rsidRPr="00776E9E" w:rsidR="00D67420">
          <w:rPr>
            <w:rFonts w:ascii="Arial" w:hAnsi="Arial" w:cs="Arial"/>
            <w:b/>
            <w:bCs/>
            <w:sz w:val="20"/>
            <w:szCs w:val="20"/>
          </w:rPr>
          <w:instrText xml:space="preserve"> NUMPAGES  </w:instrText>
        </w:r>
        <w:r w:rsidRPr="00776E9E" w:rsidR="00D67420">
          <w:rPr>
            <w:rFonts w:ascii="Arial" w:hAnsi="Arial" w:cs="Arial"/>
            <w:b/>
            <w:bCs/>
            <w:sz w:val="20"/>
            <w:szCs w:val="20"/>
          </w:rPr>
          <w:fldChar w:fldCharType="separate"/>
        </w:r>
        <w:r w:rsidR="00776C94">
          <w:rPr>
            <w:rFonts w:ascii="Arial" w:hAnsi="Arial" w:cs="Arial"/>
            <w:b/>
            <w:bCs/>
            <w:noProof/>
            <w:sz w:val="20"/>
            <w:szCs w:val="20"/>
          </w:rPr>
          <w:t>7</w:t>
        </w:r>
        <w:r w:rsidRPr="00776E9E" w:rsidR="00D67420">
          <w:rPr>
            <w:rFonts w:ascii="Arial" w:hAnsi="Arial" w:cs="Arial"/>
            <w:b/>
            <w:bCs/>
            <w:sz w:val="20"/>
            <w:szCs w:val="20"/>
          </w:rPr>
          <w:fldChar w:fldCharType="end"/>
        </w:r>
      </w:sdtContent>
    </w:sdt>
  </w:p>
  <w:p w:rsidR="00D67420" w:rsidRDefault="00D67420" w14:paraId="7CF3C1A1" w14:textId="77777777">
    <w:pPr>
      <w:pStyle w:val="Header"/>
      <w:tabs>
        <w:tab w:val="clear" w:pos="4320"/>
        <w:tab w:val="clear" w:pos="8640"/>
        <w:tab w:val="right" w:pos="10080"/>
      </w:tabs>
      <w:ind w:left="-720" w:right="-720"/>
      <w:rPr>
        <w:rFonts w:ascii="Arial" w:hAnsi="Arial" w:cs="Arial"/>
        <w:b/>
        <w:bCs/>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67420" w:rsidRDefault="00D67420" w14:paraId="2E632C15" w14:textId="77777777">
    <w:pPr>
      <w:pStyle w:val="Header"/>
      <w:tabs>
        <w:tab w:val="clear" w:pos="4320"/>
      </w:tabs>
      <w:jc w:val="center"/>
      <w:rPr>
        <w:rFonts w:ascii="Arial" w:hAnsi="Arial" w:cs="Arial"/>
        <w:b/>
        <w:bCs/>
        <w:sz w:val="20"/>
      </w:rPr>
    </w:pPr>
    <w:r>
      <w:rPr>
        <w:noProof/>
        <w:sz w:val="20"/>
      </w:rPr>
      <w:drawing>
        <wp:anchor distT="0" distB="0" distL="114300" distR="114300" simplePos="0" relativeHeight="251658240" behindDoc="0" locked="0" layoutInCell="1" allowOverlap="1" wp14:anchorId="39C0DEB6" wp14:editId="372CCB21">
          <wp:simplePos x="0" y="0"/>
          <wp:positionH relativeFrom="column">
            <wp:posOffset>-476250</wp:posOffset>
          </wp:positionH>
          <wp:positionV relativeFrom="paragraph">
            <wp:posOffset>-25400</wp:posOffset>
          </wp:positionV>
          <wp:extent cx="1143000" cy="927735"/>
          <wp:effectExtent l="0" t="0" r="0" b="0"/>
          <wp:wrapSquare wrapText="right"/>
          <wp:docPr id="6" name="Picture 6" descr="S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927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7420" w:rsidRDefault="00D67420" w14:paraId="2D9EEC69" w14:textId="77777777">
    <w:pPr>
      <w:pStyle w:val="Header"/>
      <w:tabs>
        <w:tab w:val="clear" w:pos="4320"/>
      </w:tabs>
      <w:jc w:val="center"/>
      <w:rPr>
        <w:rFonts w:ascii="Arial" w:hAnsi="Arial" w:cs="Arial"/>
        <w:b/>
        <w:bCs/>
      </w:rPr>
    </w:pPr>
    <w:r>
      <w:rPr>
        <w:rFonts w:ascii="Arial" w:hAnsi="Arial" w:cs="Arial"/>
        <w:b/>
        <w:bCs/>
      </w:rPr>
      <w:t>City Council Agenda Item</w:t>
    </w:r>
  </w:p>
  <w:p w:rsidR="00D67420" w:rsidRDefault="00D67420" w14:paraId="44E03643" w14:textId="77777777">
    <w:pPr>
      <w:pStyle w:val="Header"/>
      <w:tabs>
        <w:tab w:val="clear" w:pos="4320"/>
      </w:tabs>
      <w:jc w:val="center"/>
      <w:rPr>
        <w:rFonts w:ascii="Arial" w:hAnsi="Arial" w:cs="Arial"/>
        <w:b/>
        <w:bCs/>
        <w:sz w:val="22"/>
      </w:rPr>
    </w:pPr>
    <w:r>
      <w:rPr>
        <w:rFonts w:ascii="Arial" w:hAnsi="Arial" w:cs="Arial"/>
        <w:b/>
        <w:bCs/>
      </w:rPr>
      <w:t>Staff Report</w:t>
    </w:r>
  </w:p>
  <w:p w:rsidR="00D67420" w:rsidRDefault="00D67420" w14:paraId="688E7211" w14:textId="77777777">
    <w:pPr>
      <w:pStyle w:val="Header"/>
      <w:tabs>
        <w:tab w:val="clear" w:pos="4320"/>
      </w:tabs>
      <w:jc w:val="center"/>
      <w:rPr>
        <w:rFonts w:ascii="Arial" w:hAnsi="Arial" w:cs="Arial"/>
        <w:b/>
        <w:bCs/>
        <w:sz w:val="22"/>
      </w:rPr>
    </w:pPr>
  </w:p>
  <w:p w:rsidR="00D67420" w:rsidRDefault="00D67420" w14:paraId="3BBAEC30" w14:textId="77777777">
    <w:pPr>
      <w:pStyle w:val="Header"/>
      <w:tabs>
        <w:tab w:val="clear" w:pos="4320"/>
      </w:tabs>
      <w:jc w:val="center"/>
      <w:rPr>
        <w:rFonts w:ascii="Arial" w:hAnsi="Arial" w:cs="Arial"/>
        <w:b/>
        <w:bCs/>
        <w:sz w:val="22"/>
      </w:rPr>
    </w:pPr>
  </w:p>
  <w:p w:rsidR="00D67420" w:rsidRDefault="00D67420" w14:paraId="0D03CA80" w14:textId="77777777">
    <w:pPr>
      <w:pStyle w:val="Header"/>
      <w:pBdr>
        <w:bottom w:val="single" w:color="auto" w:sz="4" w:space="1"/>
      </w:pBdr>
      <w:tabs>
        <w:tab w:val="clear" w:pos="4320"/>
        <w:tab w:val="clear" w:pos="8640"/>
        <w:tab w:val="right" w:pos="10080"/>
      </w:tabs>
      <w:ind w:left="-720" w:right="-720"/>
      <w:rPr>
        <w:sz w:val="22"/>
      </w:rPr>
    </w:pPr>
    <w:r>
      <w:rPr>
        <w:rFonts w:ascii="Arial" w:hAnsi="Arial" w:cs="Arial"/>
        <w:sz w:val="16"/>
      </w:rPr>
      <w:tab/>
    </w:r>
    <w:r>
      <w:rPr>
        <w:sz w:val="22"/>
      </w:rPr>
      <w:t>CITY OF SAN BRUNO</w:t>
    </w:r>
  </w:p>
  <w:p w:rsidR="00D67420" w:rsidRDefault="00D67420" w14:paraId="657C5AE7" w14:textId="77777777">
    <w:pPr>
      <w:pStyle w:val="Header"/>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7D2"/>
    <w:multiLevelType w:val="hybridMultilevel"/>
    <w:tmpl w:val="C83088B8"/>
    <w:lvl w:ilvl="0" w:tplc="FFFFFFF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732249"/>
    <w:multiLevelType w:val="hybridMultilevel"/>
    <w:tmpl w:val="FC40A794"/>
    <w:lvl w:ilvl="0" w:tplc="04090001">
      <w:start w:val="1"/>
      <w:numFmt w:val="bullet"/>
      <w:lvlText w:val=""/>
      <w:lvlJc w:val="left"/>
      <w:pPr>
        <w:ind w:left="1140" w:hanging="360"/>
      </w:pPr>
      <w:rPr>
        <w:rFonts w:hint="default" w:ascii="Symbol" w:hAnsi="Symbol"/>
      </w:rPr>
    </w:lvl>
    <w:lvl w:ilvl="1" w:tplc="04090003" w:tentative="1">
      <w:start w:val="1"/>
      <w:numFmt w:val="bullet"/>
      <w:lvlText w:val="o"/>
      <w:lvlJc w:val="left"/>
      <w:pPr>
        <w:ind w:left="1860" w:hanging="360"/>
      </w:pPr>
      <w:rPr>
        <w:rFonts w:hint="default" w:ascii="Courier New" w:hAnsi="Courier New" w:cs="Courier New"/>
      </w:rPr>
    </w:lvl>
    <w:lvl w:ilvl="2" w:tplc="04090005" w:tentative="1">
      <w:start w:val="1"/>
      <w:numFmt w:val="bullet"/>
      <w:lvlText w:val=""/>
      <w:lvlJc w:val="left"/>
      <w:pPr>
        <w:ind w:left="2580" w:hanging="360"/>
      </w:pPr>
      <w:rPr>
        <w:rFonts w:hint="default" w:ascii="Wingdings" w:hAnsi="Wingdings"/>
      </w:rPr>
    </w:lvl>
    <w:lvl w:ilvl="3" w:tplc="04090001" w:tentative="1">
      <w:start w:val="1"/>
      <w:numFmt w:val="bullet"/>
      <w:lvlText w:val=""/>
      <w:lvlJc w:val="left"/>
      <w:pPr>
        <w:ind w:left="3300" w:hanging="360"/>
      </w:pPr>
      <w:rPr>
        <w:rFonts w:hint="default" w:ascii="Symbol" w:hAnsi="Symbol"/>
      </w:rPr>
    </w:lvl>
    <w:lvl w:ilvl="4" w:tplc="04090003" w:tentative="1">
      <w:start w:val="1"/>
      <w:numFmt w:val="bullet"/>
      <w:lvlText w:val="o"/>
      <w:lvlJc w:val="left"/>
      <w:pPr>
        <w:ind w:left="4020" w:hanging="360"/>
      </w:pPr>
      <w:rPr>
        <w:rFonts w:hint="default" w:ascii="Courier New" w:hAnsi="Courier New" w:cs="Courier New"/>
      </w:rPr>
    </w:lvl>
    <w:lvl w:ilvl="5" w:tplc="04090005" w:tentative="1">
      <w:start w:val="1"/>
      <w:numFmt w:val="bullet"/>
      <w:lvlText w:val=""/>
      <w:lvlJc w:val="left"/>
      <w:pPr>
        <w:ind w:left="4740" w:hanging="360"/>
      </w:pPr>
      <w:rPr>
        <w:rFonts w:hint="default" w:ascii="Wingdings" w:hAnsi="Wingdings"/>
      </w:rPr>
    </w:lvl>
    <w:lvl w:ilvl="6" w:tplc="04090001" w:tentative="1">
      <w:start w:val="1"/>
      <w:numFmt w:val="bullet"/>
      <w:lvlText w:val=""/>
      <w:lvlJc w:val="left"/>
      <w:pPr>
        <w:ind w:left="5460" w:hanging="360"/>
      </w:pPr>
      <w:rPr>
        <w:rFonts w:hint="default" w:ascii="Symbol" w:hAnsi="Symbol"/>
      </w:rPr>
    </w:lvl>
    <w:lvl w:ilvl="7" w:tplc="04090003" w:tentative="1">
      <w:start w:val="1"/>
      <w:numFmt w:val="bullet"/>
      <w:lvlText w:val="o"/>
      <w:lvlJc w:val="left"/>
      <w:pPr>
        <w:ind w:left="6180" w:hanging="360"/>
      </w:pPr>
      <w:rPr>
        <w:rFonts w:hint="default" w:ascii="Courier New" w:hAnsi="Courier New" w:cs="Courier New"/>
      </w:rPr>
    </w:lvl>
    <w:lvl w:ilvl="8" w:tplc="04090005" w:tentative="1">
      <w:start w:val="1"/>
      <w:numFmt w:val="bullet"/>
      <w:lvlText w:val=""/>
      <w:lvlJc w:val="left"/>
      <w:pPr>
        <w:ind w:left="6900" w:hanging="360"/>
      </w:pPr>
      <w:rPr>
        <w:rFonts w:hint="default" w:ascii="Wingdings" w:hAnsi="Wingdings"/>
      </w:rPr>
    </w:lvl>
  </w:abstractNum>
  <w:abstractNum w:abstractNumId="2" w15:restartNumberingAfterBreak="0">
    <w:nsid w:val="0A81195A"/>
    <w:multiLevelType w:val="hybridMultilevel"/>
    <w:tmpl w:val="2A78C8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E274A"/>
    <w:multiLevelType w:val="hybridMultilevel"/>
    <w:tmpl w:val="7A14D5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0C142B"/>
    <w:multiLevelType w:val="hybridMultilevel"/>
    <w:tmpl w:val="D67E24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FB24571"/>
    <w:multiLevelType w:val="hybridMultilevel"/>
    <w:tmpl w:val="7CE4C82E"/>
    <w:lvl w:ilvl="0" w:tplc="19762344">
      <w:start w:val="1"/>
      <w:numFmt w:val="decimal"/>
      <w:lvlText w:val="%1."/>
      <w:lvlJc w:val="left"/>
      <w:pPr>
        <w:ind w:left="720" w:hanging="360"/>
      </w:pPr>
    </w:lvl>
    <w:lvl w:ilvl="1" w:tplc="5AC6D78A">
      <w:start w:val="1"/>
      <w:numFmt w:val="lowerLetter"/>
      <w:lvlText w:val="%2."/>
      <w:lvlJc w:val="left"/>
      <w:pPr>
        <w:ind w:left="1440" w:hanging="360"/>
      </w:pPr>
    </w:lvl>
    <w:lvl w:ilvl="2" w:tplc="631815AC">
      <w:start w:val="1"/>
      <w:numFmt w:val="lowerRoman"/>
      <w:lvlText w:val="%3."/>
      <w:lvlJc w:val="right"/>
      <w:pPr>
        <w:ind w:left="2160" w:hanging="180"/>
      </w:pPr>
    </w:lvl>
    <w:lvl w:ilvl="3" w:tplc="D8A6F8BA">
      <w:start w:val="1"/>
      <w:numFmt w:val="decimal"/>
      <w:lvlText w:val="%4."/>
      <w:lvlJc w:val="left"/>
      <w:pPr>
        <w:ind w:left="2880" w:hanging="360"/>
      </w:pPr>
    </w:lvl>
    <w:lvl w:ilvl="4" w:tplc="B96632B4">
      <w:start w:val="1"/>
      <w:numFmt w:val="lowerLetter"/>
      <w:lvlText w:val="%5."/>
      <w:lvlJc w:val="left"/>
      <w:pPr>
        <w:ind w:left="3600" w:hanging="360"/>
      </w:pPr>
    </w:lvl>
    <w:lvl w:ilvl="5" w:tplc="AD1EF274">
      <w:start w:val="1"/>
      <w:numFmt w:val="lowerRoman"/>
      <w:lvlText w:val="%6."/>
      <w:lvlJc w:val="right"/>
      <w:pPr>
        <w:ind w:left="4320" w:hanging="180"/>
      </w:pPr>
    </w:lvl>
    <w:lvl w:ilvl="6" w:tplc="DC50A48E">
      <w:start w:val="1"/>
      <w:numFmt w:val="decimal"/>
      <w:lvlText w:val="%7."/>
      <w:lvlJc w:val="left"/>
      <w:pPr>
        <w:ind w:left="5040" w:hanging="360"/>
      </w:pPr>
    </w:lvl>
    <w:lvl w:ilvl="7" w:tplc="70A2933A">
      <w:start w:val="1"/>
      <w:numFmt w:val="lowerLetter"/>
      <w:lvlText w:val="%8."/>
      <w:lvlJc w:val="left"/>
      <w:pPr>
        <w:ind w:left="5760" w:hanging="360"/>
      </w:pPr>
    </w:lvl>
    <w:lvl w:ilvl="8" w:tplc="B136E7D4">
      <w:start w:val="1"/>
      <w:numFmt w:val="lowerRoman"/>
      <w:lvlText w:val="%9."/>
      <w:lvlJc w:val="right"/>
      <w:pPr>
        <w:ind w:left="6480" w:hanging="180"/>
      </w:pPr>
    </w:lvl>
  </w:abstractNum>
  <w:abstractNum w:abstractNumId="6" w15:restartNumberingAfterBreak="0">
    <w:nsid w:val="14E95F99"/>
    <w:multiLevelType w:val="hybridMultilevel"/>
    <w:tmpl w:val="8C2290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C077285"/>
    <w:multiLevelType w:val="hybridMultilevel"/>
    <w:tmpl w:val="59A8F73C"/>
    <w:lvl w:ilvl="0" w:tplc="D5E2F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9C7D46"/>
    <w:multiLevelType w:val="hybridMultilevel"/>
    <w:tmpl w:val="4906001E"/>
    <w:lvl w:ilvl="0" w:tplc="0409000F">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3FA6FA9"/>
    <w:multiLevelType w:val="hybridMultilevel"/>
    <w:tmpl w:val="EB9A1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A335B"/>
    <w:multiLevelType w:val="hybridMultilevel"/>
    <w:tmpl w:val="CFAEDA2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7256F05"/>
    <w:multiLevelType w:val="hybridMultilevel"/>
    <w:tmpl w:val="A50A00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87951D2"/>
    <w:multiLevelType w:val="hybridMultilevel"/>
    <w:tmpl w:val="6870F7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89F24A1"/>
    <w:multiLevelType w:val="hybridMultilevel"/>
    <w:tmpl w:val="EDBC0CB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29543EB2"/>
    <w:multiLevelType w:val="hybridMultilevel"/>
    <w:tmpl w:val="D6D4FC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F1905B0"/>
    <w:multiLevelType w:val="hybridMultilevel"/>
    <w:tmpl w:val="F39EAA70"/>
    <w:lvl w:ilvl="0" w:tplc="58565E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254C3"/>
    <w:multiLevelType w:val="hybridMultilevel"/>
    <w:tmpl w:val="1F8483A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C747288"/>
    <w:multiLevelType w:val="hybridMultilevel"/>
    <w:tmpl w:val="484AC2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EBD15CC"/>
    <w:multiLevelType w:val="hybridMultilevel"/>
    <w:tmpl w:val="2C32CBE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44F3FF6"/>
    <w:multiLevelType w:val="hybridMultilevel"/>
    <w:tmpl w:val="D0387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81728A"/>
    <w:multiLevelType w:val="hybridMultilevel"/>
    <w:tmpl w:val="EC4260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1617A3"/>
    <w:multiLevelType w:val="hybridMultilevel"/>
    <w:tmpl w:val="0CB83B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56877"/>
    <w:multiLevelType w:val="hybridMultilevel"/>
    <w:tmpl w:val="F552D71C"/>
    <w:lvl w:ilvl="0" w:tplc="F8522E2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0D126D1"/>
    <w:multiLevelType w:val="hybridMultilevel"/>
    <w:tmpl w:val="858CB5C8"/>
    <w:lvl w:ilvl="0" w:tplc="C91011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4C6609"/>
    <w:multiLevelType w:val="hybridMultilevel"/>
    <w:tmpl w:val="5234FF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54174E7"/>
    <w:multiLevelType w:val="hybridMultilevel"/>
    <w:tmpl w:val="3072FCF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8241913"/>
    <w:multiLevelType w:val="hybridMultilevel"/>
    <w:tmpl w:val="2A46309E"/>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8CF4AA6"/>
    <w:multiLevelType w:val="hybridMultilevel"/>
    <w:tmpl w:val="410A7738"/>
    <w:lvl w:ilvl="0" w:tplc="04090001">
      <w:start w:val="1"/>
      <w:numFmt w:val="bullet"/>
      <w:lvlText w:val=""/>
      <w:lvlJc w:val="left"/>
      <w:pPr>
        <w:ind w:left="1140" w:hanging="360"/>
      </w:pPr>
      <w:rPr>
        <w:rFonts w:hint="default" w:ascii="Symbol" w:hAnsi="Symbol"/>
      </w:rPr>
    </w:lvl>
    <w:lvl w:ilvl="1" w:tplc="04090003" w:tentative="1">
      <w:start w:val="1"/>
      <w:numFmt w:val="bullet"/>
      <w:lvlText w:val="o"/>
      <w:lvlJc w:val="left"/>
      <w:pPr>
        <w:ind w:left="1860" w:hanging="360"/>
      </w:pPr>
      <w:rPr>
        <w:rFonts w:hint="default" w:ascii="Courier New" w:hAnsi="Courier New" w:cs="Courier New"/>
      </w:rPr>
    </w:lvl>
    <w:lvl w:ilvl="2" w:tplc="04090005" w:tentative="1">
      <w:start w:val="1"/>
      <w:numFmt w:val="bullet"/>
      <w:lvlText w:val=""/>
      <w:lvlJc w:val="left"/>
      <w:pPr>
        <w:ind w:left="2580" w:hanging="360"/>
      </w:pPr>
      <w:rPr>
        <w:rFonts w:hint="default" w:ascii="Wingdings" w:hAnsi="Wingdings"/>
      </w:rPr>
    </w:lvl>
    <w:lvl w:ilvl="3" w:tplc="04090001" w:tentative="1">
      <w:start w:val="1"/>
      <w:numFmt w:val="bullet"/>
      <w:lvlText w:val=""/>
      <w:lvlJc w:val="left"/>
      <w:pPr>
        <w:ind w:left="3300" w:hanging="360"/>
      </w:pPr>
      <w:rPr>
        <w:rFonts w:hint="default" w:ascii="Symbol" w:hAnsi="Symbol"/>
      </w:rPr>
    </w:lvl>
    <w:lvl w:ilvl="4" w:tplc="04090003" w:tentative="1">
      <w:start w:val="1"/>
      <w:numFmt w:val="bullet"/>
      <w:lvlText w:val="o"/>
      <w:lvlJc w:val="left"/>
      <w:pPr>
        <w:ind w:left="4020" w:hanging="360"/>
      </w:pPr>
      <w:rPr>
        <w:rFonts w:hint="default" w:ascii="Courier New" w:hAnsi="Courier New" w:cs="Courier New"/>
      </w:rPr>
    </w:lvl>
    <w:lvl w:ilvl="5" w:tplc="04090005" w:tentative="1">
      <w:start w:val="1"/>
      <w:numFmt w:val="bullet"/>
      <w:lvlText w:val=""/>
      <w:lvlJc w:val="left"/>
      <w:pPr>
        <w:ind w:left="4740" w:hanging="360"/>
      </w:pPr>
      <w:rPr>
        <w:rFonts w:hint="default" w:ascii="Wingdings" w:hAnsi="Wingdings"/>
      </w:rPr>
    </w:lvl>
    <w:lvl w:ilvl="6" w:tplc="04090001" w:tentative="1">
      <w:start w:val="1"/>
      <w:numFmt w:val="bullet"/>
      <w:lvlText w:val=""/>
      <w:lvlJc w:val="left"/>
      <w:pPr>
        <w:ind w:left="5460" w:hanging="360"/>
      </w:pPr>
      <w:rPr>
        <w:rFonts w:hint="default" w:ascii="Symbol" w:hAnsi="Symbol"/>
      </w:rPr>
    </w:lvl>
    <w:lvl w:ilvl="7" w:tplc="04090003" w:tentative="1">
      <w:start w:val="1"/>
      <w:numFmt w:val="bullet"/>
      <w:lvlText w:val="o"/>
      <w:lvlJc w:val="left"/>
      <w:pPr>
        <w:ind w:left="6180" w:hanging="360"/>
      </w:pPr>
      <w:rPr>
        <w:rFonts w:hint="default" w:ascii="Courier New" w:hAnsi="Courier New" w:cs="Courier New"/>
      </w:rPr>
    </w:lvl>
    <w:lvl w:ilvl="8" w:tplc="04090005" w:tentative="1">
      <w:start w:val="1"/>
      <w:numFmt w:val="bullet"/>
      <w:lvlText w:val=""/>
      <w:lvlJc w:val="left"/>
      <w:pPr>
        <w:ind w:left="6900" w:hanging="360"/>
      </w:pPr>
      <w:rPr>
        <w:rFonts w:hint="default" w:ascii="Wingdings" w:hAnsi="Wingdings"/>
      </w:rPr>
    </w:lvl>
  </w:abstractNum>
  <w:abstractNum w:abstractNumId="28" w15:restartNumberingAfterBreak="0">
    <w:nsid w:val="5B7A14CF"/>
    <w:multiLevelType w:val="hybridMultilevel"/>
    <w:tmpl w:val="62140F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C1446AC"/>
    <w:multiLevelType w:val="hybridMultilevel"/>
    <w:tmpl w:val="E4D660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D0E348F"/>
    <w:multiLevelType w:val="hybridMultilevel"/>
    <w:tmpl w:val="A76A0052"/>
    <w:lvl w:ilvl="0" w:tplc="9CEEC618">
      <w:start w:val="1"/>
      <w:numFmt w:val="decimal"/>
      <w:lvlText w:val="%1."/>
      <w:lvlJc w:val="left"/>
      <w:pPr>
        <w:tabs>
          <w:tab w:val="num" w:pos="720"/>
        </w:tabs>
        <w:ind w:left="720" w:hanging="720"/>
      </w:pPr>
      <w:rPr>
        <w:rFonts w:hint="default"/>
        <w:b w:val="0"/>
        <w:bCs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D8C1FA3"/>
    <w:multiLevelType w:val="hybridMultilevel"/>
    <w:tmpl w:val="DD2680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E4C4851"/>
    <w:multiLevelType w:val="hybridMultilevel"/>
    <w:tmpl w:val="392E29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13D3024"/>
    <w:multiLevelType w:val="hybridMultilevel"/>
    <w:tmpl w:val="2E20EF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5C747A5"/>
    <w:multiLevelType w:val="hybridMultilevel"/>
    <w:tmpl w:val="B168949C"/>
    <w:lvl w:ilvl="0" w:tplc="A3FEFA40">
      <w:start w:val="1"/>
      <w:numFmt w:val="bullet"/>
      <w:lvlText w:val=""/>
      <w:lvlJc w:val="left"/>
      <w:pPr>
        <w:ind w:left="360" w:hanging="360"/>
      </w:pPr>
      <w:rPr>
        <w:rFonts w:hint="default" w:ascii="Symbol" w:hAnsi="Symbol"/>
      </w:rPr>
    </w:lvl>
    <w:lvl w:ilvl="1" w:tplc="1DFA58D8">
      <w:start w:val="1"/>
      <w:numFmt w:val="bullet"/>
      <w:lvlText w:val="o"/>
      <w:lvlJc w:val="left"/>
      <w:pPr>
        <w:ind w:left="1080" w:hanging="360"/>
      </w:pPr>
      <w:rPr>
        <w:rFonts w:hint="default" w:ascii="Courier New" w:hAnsi="Courier New"/>
      </w:rPr>
    </w:lvl>
    <w:lvl w:ilvl="2" w:tplc="B484AFEE">
      <w:start w:val="1"/>
      <w:numFmt w:val="bullet"/>
      <w:lvlText w:val=""/>
      <w:lvlJc w:val="left"/>
      <w:pPr>
        <w:ind w:left="1800" w:hanging="360"/>
      </w:pPr>
      <w:rPr>
        <w:rFonts w:hint="default" w:ascii="Wingdings" w:hAnsi="Wingdings"/>
      </w:rPr>
    </w:lvl>
    <w:lvl w:ilvl="3" w:tplc="BE1E2B56">
      <w:start w:val="1"/>
      <w:numFmt w:val="bullet"/>
      <w:lvlText w:val=""/>
      <w:lvlJc w:val="left"/>
      <w:pPr>
        <w:ind w:left="2520" w:hanging="360"/>
      </w:pPr>
      <w:rPr>
        <w:rFonts w:hint="default" w:ascii="Symbol" w:hAnsi="Symbol"/>
      </w:rPr>
    </w:lvl>
    <w:lvl w:ilvl="4" w:tplc="F4C0F964">
      <w:start w:val="1"/>
      <w:numFmt w:val="bullet"/>
      <w:lvlText w:val="o"/>
      <w:lvlJc w:val="left"/>
      <w:pPr>
        <w:ind w:left="3240" w:hanging="360"/>
      </w:pPr>
      <w:rPr>
        <w:rFonts w:hint="default" w:ascii="Courier New" w:hAnsi="Courier New"/>
      </w:rPr>
    </w:lvl>
    <w:lvl w:ilvl="5" w:tplc="33A6C9A0">
      <w:start w:val="1"/>
      <w:numFmt w:val="bullet"/>
      <w:lvlText w:val=""/>
      <w:lvlJc w:val="left"/>
      <w:pPr>
        <w:ind w:left="3960" w:hanging="360"/>
      </w:pPr>
      <w:rPr>
        <w:rFonts w:hint="default" w:ascii="Wingdings" w:hAnsi="Wingdings"/>
      </w:rPr>
    </w:lvl>
    <w:lvl w:ilvl="6" w:tplc="B7FA8ABA">
      <w:start w:val="1"/>
      <w:numFmt w:val="bullet"/>
      <w:lvlText w:val=""/>
      <w:lvlJc w:val="left"/>
      <w:pPr>
        <w:ind w:left="4680" w:hanging="360"/>
      </w:pPr>
      <w:rPr>
        <w:rFonts w:hint="default" w:ascii="Symbol" w:hAnsi="Symbol"/>
      </w:rPr>
    </w:lvl>
    <w:lvl w:ilvl="7" w:tplc="AB52DFFA">
      <w:start w:val="1"/>
      <w:numFmt w:val="bullet"/>
      <w:lvlText w:val="o"/>
      <w:lvlJc w:val="left"/>
      <w:pPr>
        <w:ind w:left="5400" w:hanging="360"/>
      </w:pPr>
      <w:rPr>
        <w:rFonts w:hint="default" w:ascii="Courier New" w:hAnsi="Courier New"/>
      </w:rPr>
    </w:lvl>
    <w:lvl w:ilvl="8" w:tplc="18A4941A">
      <w:start w:val="1"/>
      <w:numFmt w:val="bullet"/>
      <w:lvlText w:val=""/>
      <w:lvlJc w:val="left"/>
      <w:pPr>
        <w:ind w:left="6120" w:hanging="360"/>
      </w:pPr>
      <w:rPr>
        <w:rFonts w:hint="default" w:ascii="Wingdings" w:hAnsi="Wingdings"/>
      </w:rPr>
    </w:lvl>
  </w:abstractNum>
  <w:abstractNum w:abstractNumId="35" w15:restartNumberingAfterBreak="0">
    <w:nsid w:val="66E363CB"/>
    <w:multiLevelType w:val="hybridMultilevel"/>
    <w:tmpl w:val="E18A1ADA"/>
    <w:lvl w:ilvl="0" w:tplc="04090001">
      <w:start w:val="1"/>
      <w:numFmt w:val="bullet"/>
      <w:lvlText w:val=""/>
      <w:lvlJc w:val="left"/>
      <w:pPr>
        <w:ind w:left="960" w:hanging="360"/>
      </w:pPr>
      <w:rPr>
        <w:rFonts w:hint="default" w:ascii="Symbol" w:hAnsi="Symbol"/>
      </w:rPr>
    </w:lvl>
    <w:lvl w:ilvl="1" w:tplc="04090003" w:tentative="1">
      <w:start w:val="1"/>
      <w:numFmt w:val="bullet"/>
      <w:lvlText w:val="o"/>
      <w:lvlJc w:val="left"/>
      <w:pPr>
        <w:ind w:left="1680" w:hanging="360"/>
      </w:pPr>
      <w:rPr>
        <w:rFonts w:hint="default" w:ascii="Courier New" w:hAnsi="Courier New" w:cs="Courier New"/>
      </w:rPr>
    </w:lvl>
    <w:lvl w:ilvl="2" w:tplc="04090005" w:tentative="1">
      <w:start w:val="1"/>
      <w:numFmt w:val="bullet"/>
      <w:lvlText w:val=""/>
      <w:lvlJc w:val="left"/>
      <w:pPr>
        <w:ind w:left="2400" w:hanging="360"/>
      </w:pPr>
      <w:rPr>
        <w:rFonts w:hint="default" w:ascii="Wingdings" w:hAnsi="Wingdings"/>
      </w:rPr>
    </w:lvl>
    <w:lvl w:ilvl="3" w:tplc="04090001" w:tentative="1">
      <w:start w:val="1"/>
      <w:numFmt w:val="bullet"/>
      <w:lvlText w:val=""/>
      <w:lvlJc w:val="left"/>
      <w:pPr>
        <w:ind w:left="3120" w:hanging="360"/>
      </w:pPr>
      <w:rPr>
        <w:rFonts w:hint="default" w:ascii="Symbol" w:hAnsi="Symbol"/>
      </w:rPr>
    </w:lvl>
    <w:lvl w:ilvl="4" w:tplc="04090003" w:tentative="1">
      <w:start w:val="1"/>
      <w:numFmt w:val="bullet"/>
      <w:lvlText w:val="o"/>
      <w:lvlJc w:val="left"/>
      <w:pPr>
        <w:ind w:left="3840" w:hanging="360"/>
      </w:pPr>
      <w:rPr>
        <w:rFonts w:hint="default" w:ascii="Courier New" w:hAnsi="Courier New" w:cs="Courier New"/>
      </w:rPr>
    </w:lvl>
    <w:lvl w:ilvl="5" w:tplc="04090005" w:tentative="1">
      <w:start w:val="1"/>
      <w:numFmt w:val="bullet"/>
      <w:lvlText w:val=""/>
      <w:lvlJc w:val="left"/>
      <w:pPr>
        <w:ind w:left="4560" w:hanging="360"/>
      </w:pPr>
      <w:rPr>
        <w:rFonts w:hint="default" w:ascii="Wingdings" w:hAnsi="Wingdings"/>
      </w:rPr>
    </w:lvl>
    <w:lvl w:ilvl="6" w:tplc="04090001" w:tentative="1">
      <w:start w:val="1"/>
      <w:numFmt w:val="bullet"/>
      <w:lvlText w:val=""/>
      <w:lvlJc w:val="left"/>
      <w:pPr>
        <w:ind w:left="5280" w:hanging="360"/>
      </w:pPr>
      <w:rPr>
        <w:rFonts w:hint="default" w:ascii="Symbol" w:hAnsi="Symbol"/>
      </w:rPr>
    </w:lvl>
    <w:lvl w:ilvl="7" w:tplc="04090003" w:tentative="1">
      <w:start w:val="1"/>
      <w:numFmt w:val="bullet"/>
      <w:lvlText w:val="o"/>
      <w:lvlJc w:val="left"/>
      <w:pPr>
        <w:ind w:left="6000" w:hanging="360"/>
      </w:pPr>
      <w:rPr>
        <w:rFonts w:hint="default" w:ascii="Courier New" w:hAnsi="Courier New" w:cs="Courier New"/>
      </w:rPr>
    </w:lvl>
    <w:lvl w:ilvl="8" w:tplc="04090005" w:tentative="1">
      <w:start w:val="1"/>
      <w:numFmt w:val="bullet"/>
      <w:lvlText w:val=""/>
      <w:lvlJc w:val="left"/>
      <w:pPr>
        <w:ind w:left="6720" w:hanging="360"/>
      </w:pPr>
      <w:rPr>
        <w:rFonts w:hint="default" w:ascii="Wingdings" w:hAnsi="Wingdings"/>
      </w:rPr>
    </w:lvl>
  </w:abstractNum>
  <w:abstractNum w:abstractNumId="36" w15:restartNumberingAfterBreak="0">
    <w:nsid w:val="67FD2A4C"/>
    <w:multiLevelType w:val="hybridMultilevel"/>
    <w:tmpl w:val="D2CA09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4D79D0"/>
    <w:multiLevelType w:val="hybridMultilevel"/>
    <w:tmpl w:val="DEB20B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C17754D"/>
    <w:multiLevelType w:val="hybridMultilevel"/>
    <w:tmpl w:val="64220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340BFC"/>
    <w:multiLevelType w:val="hybridMultilevel"/>
    <w:tmpl w:val="EF9232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8C33381"/>
    <w:multiLevelType w:val="hybridMultilevel"/>
    <w:tmpl w:val="40BE41A8"/>
    <w:lvl w:ilvl="0" w:tplc="04090003">
      <w:start w:val="1"/>
      <w:numFmt w:val="bullet"/>
      <w:lvlText w:val="o"/>
      <w:lvlJc w:val="left"/>
      <w:pPr>
        <w:ind w:left="1860" w:hanging="360"/>
      </w:pPr>
      <w:rPr>
        <w:rFonts w:hint="default" w:ascii="Courier New" w:hAnsi="Courier New" w:cs="Courier New"/>
      </w:rPr>
    </w:lvl>
    <w:lvl w:ilvl="1" w:tplc="04090003" w:tentative="1">
      <w:start w:val="1"/>
      <w:numFmt w:val="bullet"/>
      <w:lvlText w:val="o"/>
      <w:lvlJc w:val="left"/>
      <w:pPr>
        <w:ind w:left="2580" w:hanging="360"/>
      </w:pPr>
      <w:rPr>
        <w:rFonts w:hint="default" w:ascii="Courier New" w:hAnsi="Courier New" w:cs="Courier New"/>
      </w:rPr>
    </w:lvl>
    <w:lvl w:ilvl="2" w:tplc="04090005" w:tentative="1">
      <w:start w:val="1"/>
      <w:numFmt w:val="bullet"/>
      <w:lvlText w:val=""/>
      <w:lvlJc w:val="left"/>
      <w:pPr>
        <w:ind w:left="3300" w:hanging="360"/>
      </w:pPr>
      <w:rPr>
        <w:rFonts w:hint="default" w:ascii="Wingdings" w:hAnsi="Wingdings"/>
      </w:rPr>
    </w:lvl>
    <w:lvl w:ilvl="3" w:tplc="04090001" w:tentative="1">
      <w:start w:val="1"/>
      <w:numFmt w:val="bullet"/>
      <w:lvlText w:val=""/>
      <w:lvlJc w:val="left"/>
      <w:pPr>
        <w:ind w:left="4020" w:hanging="360"/>
      </w:pPr>
      <w:rPr>
        <w:rFonts w:hint="default" w:ascii="Symbol" w:hAnsi="Symbol"/>
      </w:rPr>
    </w:lvl>
    <w:lvl w:ilvl="4" w:tplc="04090003" w:tentative="1">
      <w:start w:val="1"/>
      <w:numFmt w:val="bullet"/>
      <w:lvlText w:val="o"/>
      <w:lvlJc w:val="left"/>
      <w:pPr>
        <w:ind w:left="4740" w:hanging="360"/>
      </w:pPr>
      <w:rPr>
        <w:rFonts w:hint="default" w:ascii="Courier New" w:hAnsi="Courier New" w:cs="Courier New"/>
      </w:rPr>
    </w:lvl>
    <w:lvl w:ilvl="5" w:tplc="04090005" w:tentative="1">
      <w:start w:val="1"/>
      <w:numFmt w:val="bullet"/>
      <w:lvlText w:val=""/>
      <w:lvlJc w:val="left"/>
      <w:pPr>
        <w:ind w:left="5460" w:hanging="360"/>
      </w:pPr>
      <w:rPr>
        <w:rFonts w:hint="default" w:ascii="Wingdings" w:hAnsi="Wingdings"/>
      </w:rPr>
    </w:lvl>
    <w:lvl w:ilvl="6" w:tplc="04090001" w:tentative="1">
      <w:start w:val="1"/>
      <w:numFmt w:val="bullet"/>
      <w:lvlText w:val=""/>
      <w:lvlJc w:val="left"/>
      <w:pPr>
        <w:ind w:left="6180" w:hanging="360"/>
      </w:pPr>
      <w:rPr>
        <w:rFonts w:hint="default" w:ascii="Symbol" w:hAnsi="Symbol"/>
      </w:rPr>
    </w:lvl>
    <w:lvl w:ilvl="7" w:tplc="04090003" w:tentative="1">
      <w:start w:val="1"/>
      <w:numFmt w:val="bullet"/>
      <w:lvlText w:val="o"/>
      <w:lvlJc w:val="left"/>
      <w:pPr>
        <w:ind w:left="6900" w:hanging="360"/>
      </w:pPr>
      <w:rPr>
        <w:rFonts w:hint="default" w:ascii="Courier New" w:hAnsi="Courier New" w:cs="Courier New"/>
      </w:rPr>
    </w:lvl>
    <w:lvl w:ilvl="8" w:tplc="04090005" w:tentative="1">
      <w:start w:val="1"/>
      <w:numFmt w:val="bullet"/>
      <w:lvlText w:val=""/>
      <w:lvlJc w:val="left"/>
      <w:pPr>
        <w:ind w:left="7620" w:hanging="360"/>
      </w:pPr>
      <w:rPr>
        <w:rFonts w:hint="default" w:ascii="Wingdings" w:hAnsi="Wingdings"/>
      </w:rPr>
    </w:lvl>
  </w:abstractNum>
  <w:num w:numId="1" w16cid:durableId="752121951">
    <w:abstractNumId w:val="34"/>
  </w:num>
  <w:num w:numId="2" w16cid:durableId="555313034">
    <w:abstractNumId w:val="5"/>
  </w:num>
  <w:num w:numId="3" w16cid:durableId="1426341503">
    <w:abstractNumId w:val="7"/>
  </w:num>
  <w:num w:numId="4" w16cid:durableId="1984308048">
    <w:abstractNumId w:val="30"/>
  </w:num>
  <w:num w:numId="5" w16cid:durableId="2060779613">
    <w:abstractNumId w:val="3"/>
  </w:num>
  <w:num w:numId="6" w16cid:durableId="352267615">
    <w:abstractNumId w:val="1"/>
  </w:num>
  <w:num w:numId="7" w16cid:durableId="1770615400">
    <w:abstractNumId w:val="13"/>
  </w:num>
  <w:num w:numId="8" w16cid:durableId="184491123">
    <w:abstractNumId w:val="40"/>
  </w:num>
  <w:num w:numId="9" w16cid:durableId="1977952166">
    <w:abstractNumId w:val="27"/>
  </w:num>
  <w:num w:numId="10" w16cid:durableId="1511136311">
    <w:abstractNumId w:val="35"/>
  </w:num>
  <w:num w:numId="11" w16cid:durableId="1679042827">
    <w:abstractNumId w:val="18"/>
  </w:num>
  <w:num w:numId="12" w16cid:durableId="592131680">
    <w:abstractNumId w:val="2"/>
  </w:num>
  <w:num w:numId="13" w16cid:durableId="650446583">
    <w:abstractNumId w:val="9"/>
  </w:num>
  <w:num w:numId="14" w16cid:durableId="972099807">
    <w:abstractNumId w:val="28"/>
  </w:num>
  <w:num w:numId="15" w16cid:durableId="2029866500">
    <w:abstractNumId w:val="22"/>
  </w:num>
  <w:num w:numId="16" w16cid:durableId="1563519413">
    <w:abstractNumId w:val="36"/>
  </w:num>
  <w:num w:numId="17" w16cid:durableId="1970476898">
    <w:abstractNumId w:val="21"/>
  </w:num>
  <w:num w:numId="18" w16cid:durableId="1419712590">
    <w:abstractNumId w:val="32"/>
  </w:num>
  <w:num w:numId="19" w16cid:durableId="848101710">
    <w:abstractNumId w:val="38"/>
  </w:num>
  <w:num w:numId="20" w16cid:durableId="37976502">
    <w:abstractNumId w:val="20"/>
  </w:num>
  <w:num w:numId="21" w16cid:durableId="563881592">
    <w:abstractNumId w:val="12"/>
  </w:num>
  <w:num w:numId="22" w16cid:durableId="1619293089">
    <w:abstractNumId w:val="29"/>
  </w:num>
  <w:num w:numId="23" w16cid:durableId="675812361">
    <w:abstractNumId w:val="14"/>
  </w:num>
  <w:num w:numId="24" w16cid:durableId="830636022">
    <w:abstractNumId w:val="19"/>
  </w:num>
  <w:num w:numId="25" w16cid:durableId="1873758694">
    <w:abstractNumId w:val="23"/>
  </w:num>
  <w:num w:numId="26" w16cid:durableId="2071423415">
    <w:abstractNumId w:val="8"/>
  </w:num>
  <w:num w:numId="27" w16cid:durableId="604263300">
    <w:abstractNumId w:val="15"/>
  </w:num>
  <w:num w:numId="28" w16cid:durableId="193812078">
    <w:abstractNumId w:val="10"/>
  </w:num>
  <w:num w:numId="29" w16cid:durableId="1852065202">
    <w:abstractNumId w:val="6"/>
  </w:num>
  <w:num w:numId="30" w16cid:durableId="209153702">
    <w:abstractNumId w:val="25"/>
  </w:num>
  <w:num w:numId="31" w16cid:durableId="734936779">
    <w:abstractNumId w:val="39"/>
  </w:num>
  <w:num w:numId="32" w16cid:durableId="308898130">
    <w:abstractNumId w:val="26"/>
  </w:num>
  <w:num w:numId="33" w16cid:durableId="2029258761">
    <w:abstractNumId w:val="33"/>
  </w:num>
  <w:num w:numId="34" w16cid:durableId="702945094">
    <w:abstractNumId w:val="4"/>
  </w:num>
  <w:num w:numId="35" w16cid:durableId="1024404591">
    <w:abstractNumId w:val="37"/>
  </w:num>
  <w:num w:numId="36" w16cid:durableId="1792168878">
    <w:abstractNumId w:val="16"/>
  </w:num>
  <w:num w:numId="37" w16cid:durableId="1663924193">
    <w:abstractNumId w:val="17"/>
  </w:num>
  <w:num w:numId="38" w16cid:durableId="1570842695">
    <w:abstractNumId w:val="31"/>
  </w:num>
  <w:num w:numId="39" w16cid:durableId="1912739760">
    <w:abstractNumId w:val="11"/>
  </w:num>
  <w:num w:numId="40" w16cid:durableId="699866752">
    <w:abstractNumId w:val="0"/>
  </w:num>
  <w:num w:numId="41" w16cid:durableId="1376200011">
    <w:abstractNumId w:val="2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ga, Mayra">
    <w15:presenceInfo w15:providerId="AD" w15:userId="S::mvega@trcsolutions.com::e490db27-46bc-4212-b710-2c53e0877113"/>
  </w15:person>
  <w15:person w15:author="Farhad Farahmand">
    <w15:presenceInfo w15:providerId="AD" w15:userId="S::FFarahmand@trcsolutions.com::1346c63b-154b-4d8b-8990-456be2dc59cb"/>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F9"/>
    <w:rsid w:val="000064A5"/>
    <w:rsid w:val="00012A2F"/>
    <w:rsid w:val="00012D7A"/>
    <w:rsid w:val="00013F28"/>
    <w:rsid w:val="0002172B"/>
    <w:rsid w:val="00023118"/>
    <w:rsid w:val="00026D4A"/>
    <w:rsid w:val="0002753F"/>
    <w:rsid w:val="00027794"/>
    <w:rsid w:val="00033C2D"/>
    <w:rsid w:val="00033CE8"/>
    <w:rsid w:val="000459F4"/>
    <w:rsid w:val="00050882"/>
    <w:rsid w:val="000519DE"/>
    <w:rsid w:val="000553CC"/>
    <w:rsid w:val="00060970"/>
    <w:rsid w:val="00063373"/>
    <w:rsid w:val="00063685"/>
    <w:rsid w:val="00071793"/>
    <w:rsid w:val="000717F6"/>
    <w:rsid w:val="00091B2B"/>
    <w:rsid w:val="00091BDF"/>
    <w:rsid w:val="0009485A"/>
    <w:rsid w:val="000A13E0"/>
    <w:rsid w:val="000A58F2"/>
    <w:rsid w:val="000A5DA8"/>
    <w:rsid w:val="000B2504"/>
    <w:rsid w:val="000B4CE2"/>
    <w:rsid w:val="000B4D58"/>
    <w:rsid w:val="000B5686"/>
    <w:rsid w:val="000B5755"/>
    <w:rsid w:val="000B684D"/>
    <w:rsid w:val="000B6D5A"/>
    <w:rsid w:val="000C139F"/>
    <w:rsid w:val="000C2A3E"/>
    <w:rsid w:val="000C5F11"/>
    <w:rsid w:val="000D6E87"/>
    <w:rsid w:val="000D7C11"/>
    <w:rsid w:val="000E0298"/>
    <w:rsid w:val="000E4ED8"/>
    <w:rsid w:val="000E7A06"/>
    <w:rsid w:val="000F0FDC"/>
    <w:rsid w:val="000F3893"/>
    <w:rsid w:val="00100B19"/>
    <w:rsid w:val="001055CA"/>
    <w:rsid w:val="00107F3A"/>
    <w:rsid w:val="001167F3"/>
    <w:rsid w:val="00117154"/>
    <w:rsid w:val="0012052B"/>
    <w:rsid w:val="0012463F"/>
    <w:rsid w:val="001247C7"/>
    <w:rsid w:val="00127986"/>
    <w:rsid w:val="0013230F"/>
    <w:rsid w:val="001408BF"/>
    <w:rsid w:val="00141433"/>
    <w:rsid w:val="00141506"/>
    <w:rsid w:val="001456EC"/>
    <w:rsid w:val="001464C9"/>
    <w:rsid w:val="00167D57"/>
    <w:rsid w:val="00170EC5"/>
    <w:rsid w:val="001719FF"/>
    <w:rsid w:val="001740A6"/>
    <w:rsid w:val="001757A0"/>
    <w:rsid w:val="0018092A"/>
    <w:rsid w:val="001823DB"/>
    <w:rsid w:val="00191648"/>
    <w:rsid w:val="00191BAB"/>
    <w:rsid w:val="00195C37"/>
    <w:rsid w:val="00195F3F"/>
    <w:rsid w:val="00196705"/>
    <w:rsid w:val="001A4F02"/>
    <w:rsid w:val="001A5CC0"/>
    <w:rsid w:val="001A6263"/>
    <w:rsid w:val="001B06B0"/>
    <w:rsid w:val="001B20B4"/>
    <w:rsid w:val="001B4165"/>
    <w:rsid w:val="001C15B8"/>
    <w:rsid w:val="001C2C48"/>
    <w:rsid w:val="001C4252"/>
    <w:rsid w:val="001C5D09"/>
    <w:rsid w:val="001D2A28"/>
    <w:rsid w:val="001D370A"/>
    <w:rsid w:val="001D68FE"/>
    <w:rsid w:val="001D6FCA"/>
    <w:rsid w:val="001E1471"/>
    <w:rsid w:val="001E21AE"/>
    <w:rsid w:val="001F0785"/>
    <w:rsid w:val="001F210D"/>
    <w:rsid w:val="00201760"/>
    <w:rsid w:val="002049F1"/>
    <w:rsid w:val="00204AF3"/>
    <w:rsid w:val="0020555A"/>
    <w:rsid w:val="00206A69"/>
    <w:rsid w:val="00207A47"/>
    <w:rsid w:val="00211913"/>
    <w:rsid w:val="00211964"/>
    <w:rsid w:val="00211E05"/>
    <w:rsid w:val="0021345A"/>
    <w:rsid w:val="002147A5"/>
    <w:rsid w:val="00215672"/>
    <w:rsid w:val="002208F9"/>
    <w:rsid w:val="00221132"/>
    <w:rsid w:val="00222684"/>
    <w:rsid w:val="0022269D"/>
    <w:rsid w:val="00225203"/>
    <w:rsid w:val="00234362"/>
    <w:rsid w:val="002364E9"/>
    <w:rsid w:val="00243354"/>
    <w:rsid w:val="00244190"/>
    <w:rsid w:val="00247D3C"/>
    <w:rsid w:val="00254864"/>
    <w:rsid w:val="0025510E"/>
    <w:rsid w:val="002616C9"/>
    <w:rsid w:val="0026192A"/>
    <w:rsid w:val="00261FD8"/>
    <w:rsid w:val="00262363"/>
    <w:rsid w:val="00264CEE"/>
    <w:rsid w:val="002657BF"/>
    <w:rsid w:val="00265C1D"/>
    <w:rsid w:val="00266C92"/>
    <w:rsid w:val="00273D5B"/>
    <w:rsid w:val="00281F3A"/>
    <w:rsid w:val="00282318"/>
    <w:rsid w:val="00284257"/>
    <w:rsid w:val="00285176"/>
    <w:rsid w:val="0029554B"/>
    <w:rsid w:val="002957A5"/>
    <w:rsid w:val="00296EB4"/>
    <w:rsid w:val="002A13F2"/>
    <w:rsid w:val="002A22FC"/>
    <w:rsid w:val="002A5937"/>
    <w:rsid w:val="002A67DD"/>
    <w:rsid w:val="002B4972"/>
    <w:rsid w:val="002B663B"/>
    <w:rsid w:val="002C0C00"/>
    <w:rsid w:val="002C358B"/>
    <w:rsid w:val="002C51BF"/>
    <w:rsid w:val="002D74A0"/>
    <w:rsid w:val="002D74D5"/>
    <w:rsid w:val="002E493C"/>
    <w:rsid w:val="002F1737"/>
    <w:rsid w:val="002F17DF"/>
    <w:rsid w:val="002F392D"/>
    <w:rsid w:val="002F4171"/>
    <w:rsid w:val="002F6138"/>
    <w:rsid w:val="00302EEA"/>
    <w:rsid w:val="00307C4F"/>
    <w:rsid w:val="00316D9C"/>
    <w:rsid w:val="00320280"/>
    <w:rsid w:val="00327364"/>
    <w:rsid w:val="003334E5"/>
    <w:rsid w:val="003352C7"/>
    <w:rsid w:val="003372C7"/>
    <w:rsid w:val="00337C45"/>
    <w:rsid w:val="00340061"/>
    <w:rsid w:val="00340953"/>
    <w:rsid w:val="0034264D"/>
    <w:rsid w:val="00353724"/>
    <w:rsid w:val="0035493A"/>
    <w:rsid w:val="0035636D"/>
    <w:rsid w:val="003564C0"/>
    <w:rsid w:val="00356C87"/>
    <w:rsid w:val="00366F29"/>
    <w:rsid w:val="00375E4B"/>
    <w:rsid w:val="00381647"/>
    <w:rsid w:val="00385E70"/>
    <w:rsid w:val="003A20A0"/>
    <w:rsid w:val="003A28E4"/>
    <w:rsid w:val="003A3821"/>
    <w:rsid w:val="003A4109"/>
    <w:rsid w:val="003C2045"/>
    <w:rsid w:val="003C5C37"/>
    <w:rsid w:val="003D11EB"/>
    <w:rsid w:val="003D66A6"/>
    <w:rsid w:val="003D7885"/>
    <w:rsid w:val="003F0423"/>
    <w:rsid w:val="003F26EF"/>
    <w:rsid w:val="004021C6"/>
    <w:rsid w:val="00403955"/>
    <w:rsid w:val="004058C8"/>
    <w:rsid w:val="00406A94"/>
    <w:rsid w:val="00406AFE"/>
    <w:rsid w:val="004070D7"/>
    <w:rsid w:val="00415469"/>
    <w:rsid w:val="00416774"/>
    <w:rsid w:val="00417413"/>
    <w:rsid w:val="0041789C"/>
    <w:rsid w:val="0042648B"/>
    <w:rsid w:val="00430DB1"/>
    <w:rsid w:val="00432CAB"/>
    <w:rsid w:val="00437EF1"/>
    <w:rsid w:val="00447787"/>
    <w:rsid w:val="00450372"/>
    <w:rsid w:val="004544E2"/>
    <w:rsid w:val="00457E09"/>
    <w:rsid w:val="00461185"/>
    <w:rsid w:val="00463EFA"/>
    <w:rsid w:val="0046612E"/>
    <w:rsid w:val="0047059F"/>
    <w:rsid w:val="00475AF0"/>
    <w:rsid w:val="00484E37"/>
    <w:rsid w:val="00487668"/>
    <w:rsid w:val="00492E35"/>
    <w:rsid w:val="0049722C"/>
    <w:rsid w:val="004A26E4"/>
    <w:rsid w:val="004A3507"/>
    <w:rsid w:val="004B40B7"/>
    <w:rsid w:val="004C58C2"/>
    <w:rsid w:val="004D215E"/>
    <w:rsid w:val="004E089F"/>
    <w:rsid w:val="004E23F1"/>
    <w:rsid w:val="004E4FA1"/>
    <w:rsid w:val="004E63A9"/>
    <w:rsid w:val="004F01D5"/>
    <w:rsid w:val="004F205D"/>
    <w:rsid w:val="004F4F30"/>
    <w:rsid w:val="004F7723"/>
    <w:rsid w:val="004F7E78"/>
    <w:rsid w:val="005042F0"/>
    <w:rsid w:val="0050558B"/>
    <w:rsid w:val="00505BE5"/>
    <w:rsid w:val="00525C75"/>
    <w:rsid w:val="00531FA1"/>
    <w:rsid w:val="00540397"/>
    <w:rsid w:val="005446A0"/>
    <w:rsid w:val="00547A7C"/>
    <w:rsid w:val="00553AC6"/>
    <w:rsid w:val="00555910"/>
    <w:rsid w:val="00555BDA"/>
    <w:rsid w:val="00563D1C"/>
    <w:rsid w:val="00565D92"/>
    <w:rsid w:val="00571822"/>
    <w:rsid w:val="005768E6"/>
    <w:rsid w:val="00587D28"/>
    <w:rsid w:val="0059273D"/>
    <w:rsid w:val="00594DB9"/>
    <w:rsid w:val="00597801"/>
    <w:rsid w:val="005A5077"/>
    <w:rsid w:val="005A55B6"/>
    <w:rsid w:val="005A6220"/>
    <w:rsid w:val="005A6FF7"/>
    <w:rsid w:val="005B33C7"/>
    <w:rsid w:val="005B4E81"/>
    <w:rsid w:val="005C03A2"/>
    <w:rsid w:val="005C15DC"/>
    <w:rsid w:val="005C3E23"/>
    <w:rsid w:val="005C3FD6"/>
    <w:rsid w:val="005C6238"/>
    <w:rsid w:val="005C6274"/>
    <w:rsid w:val="005C7125"/>
    <w:rsid w:val="005D519E"/>
    <w:rsid w:val="005E3A88"/>
    <w:rsid w:val="005F1AEF"/>
    <w:rsid w:val="005F373C"/>
    <w:rsid w:val="005F6C4A"/>
    <w:rsid w:val="005F7524"/>
    <w:rsid w:val="0060245D"/>
    <w:rsid w:val="006057EB"/>
    <w:rsid w:val="00605DD3"/>
    <w:rsid w:val="00611BA2"/>
    <w:rsid w:val="00613F4D"/>
    <w:rsid w:val="00614275"/>
    <w:rsid w:val="006161C5"/>
    <w:rsid w:val="006219D7"/>
    <w:rsid w:val="00625E2B"/>
    <w:rsid w:val="00626512"/>
    <w:rsid w:val="00631452"/>
    <w:rsid w:val="0064211B"/>
    <w:rsid w:val="006472EC"/>
    <w:rsid w:val="00654BE6"/>
    <w:rsid w:val="0065673B"/>
    <w:rsid w:val="00656E59"/>
    <w:rsid w:val="006667E2"/>
    <w:rsid w:val="00670068"/>
    <w:rsid w:val="00674DBF"/>
    <w:rsid w:val="00680D53"/>
    <w:rsid w:val="00681BF1"/>
    <w:rsid w:val="006835A9"/>
    <w:rsid w:val="00690A7C"/>
    <w:rsid w:val="006916BC"/>
    <w:rsid w:val="00691925"/>
    <w:rsid w:val="006A4799"/>
    <w:rsid w:val="006A5508"/>
    <w:rsid w:val="006B0DC3"/>
    <w:rsid w:val="006B29F0"/>
    <w:rsid w:val="006B5113"/>
    <w:rsid w:val="006B56F7"/>
    <w:rsid w:val="006B652B"/>
    <w:rsid w:val="006C16C1"/>
    <w:rsid w:val="006C49A5"/>
    <w:rsid w:val="006C4AE7"/>
    <w:rsid w:val="006C5660"/>
    <w:rsid w:val="006C695A"/>
    <w:rsid w:val="006D2B31"/>
    <w:rsid w:val="006E2A6B"/>
    <w:rsid w:val="006E7956"/>
    <w:rsid w:val="006E7A73"/>
    <w:rsid w:val="00701D3A"/>
    <w:rsid w:val="00701D4E"/>
    <w:rsid w:val="00710518"/>
    <w:rsid w:val="00711629"/>
    <w:rsid w:val="00716DCA"/>
    <w:rsid w:val="0071748B"/>
    <w:rsid w:val="00717A49"/>
    <w:rsid w:val="00720534"/>
    <w:rsid w:val="007211B8"/>
    <w:rsid w:val="00724A7E"/>
    <w:rsid w:val="007271EB"/>
    <w:rsid w:val="00732CAA"/>
    <w:rsid w:val="00733F2B"/>
    <w:rsid w:val="007358B5"/>
    <w:rsid w:val="00745F70"/>
    <w:rsid w:val="007463F6"/>
    <w:rsid w:val="007511F9"/>
    <w:rsid w:val="00757149"/>
    <w:rsid w:val="007579B2"/>
    <w:rsid w:val="00763357"/>
    <w:rsid w:val="00763EA5"/>
    <w:rsid w:val="00764A41"/>
    <w:rsid w:val="00764C45"/>
    <w:rsid w:val="00767C64"/>
    <w:rsid w:val="00771E41"/>
    <w:rsid w:val="00775CAF"/>
    <w:rsid w:val="00776111"/>
    <w:rsid w:val="00776B18"/>
    <w:rsid w:val="00776C94"/>
    <w:rsid w:val="00776E9E"/>
    <w:rsid w:val="0077726A"/>
    <w:rsid w:val="0077742D"/>
    <w:rsid w:val="0078222A"/>
    <w:rsid w:val="0078461F"/>
    <w:rsid w:val="00785BC2"/>
    <w:rsid w:val="0078733F"/>
    <w:rsid w:val="00787658"/>
    <w:rsid w:val="0079160E"/>
    <w:rsid w:val="0079278A"/>
    <w:rsid w:val="00793042"/>
    <w:rsid w:val="00794EA5"/>
    <w:rsid w:val="00797989"/>
    <w:rsid w:val="007A086B"/>
    <w:rsid w:val="007A321E"/>
    <w:rsid w:val="007A5330"/>
    <w:rsid w:val="007B3EC0"/>
    <w:rsid w:val="007B42D3"/>
    <w:rsid w:val="007C4BFB"/>
    <w:rsid w:val="007D00EC"/>
    <w:rsid w:val="007D5E1C"/>
    <w:rsid w:val="007D63F4"/>
    <w:rsid w:val="007E0F5B"/>
    <w:rsid w:val="007E3A21"/>
    <w:rsid w:val="007E42C0"/>
    <w:rsid w:val="007F0632"/>
    <w:rsid w:val="007F3ED9"/>
    <w:rsid w:val="007F53B6"/>
    <w:rsid w:val="00802859"/>
    <w:rsid w:val="00804D2D"/>
    <w:rsid w:val="00813689"/>
    <w:rsid w:val="0082086D"/>
    <w:rsid w:val="00836685"/>
    <w:rsid w:val="00843537"/>
    <w:rsid w:val="00845225"/>
    <w:rsid w:val="00845FF6"/>
    <w:rsid w:val="00851969"/>
    <w:rsid w:val="00860C17"/>
    <w:rsid w:val="00861CE7"/>
    <w:rsid w:val="0086303E"/>
    <w:rsid w:val="00871B27"/>
    <w:rsid w:val="00873398"/>
    <w:rsid w:val="008776A1"/>
    <w:rsid w:val="008A3369"/>
    <w:rsid w:val="008B07AE"/>
    <w:rsid w:val="008B2F93"/>
    <w:rsid w:val="008B7A76"/>
    <w:rsid w:val="008C05CE"/>
    <w:rsid w:val="008D580B"/>
    <w:rsid w:val="008D655C"/>
    <w:rsid w:val="008D7F05"/>
    <w:rsid w:val="008E233B"/>
    <w:rsid w:val="008E3184"/>
    <w:rsid w:val="008E3330"/>
    <w:rsid w:val="008E3819"/>
    <w:rsid w:val="008E3950"/>
    <w:rsid w:val="008E40A8"/>
    <w:rsid w:val="008E437D"/>
    <w:rsid w:val="008E5A4B"/>
    <w:rsid w:val="008E6805"/>
    <w:rsid w:val="008F0209"/>
    <w:rsid w:val="008F0CC5"/>
    <w:rsid w:val="008F44CE"/>
    <w:rsid w:val="00900020"/>
    <w:rsid w:val="0090398D"/>
    <w:rsid w:val="009118DF"/>
    <w:rsid w:val="009119DB"/>
    <w:rsid w:val="0091483F"/>
    <w:rsid w:val="00914FA7"/>
    <w:rsid w:val="00924240"/>
    <w:rsid w:val="0093086C"/>
    <w:rsid w:val="0093265A"/>
    <w:rsid w:val="00934EEC"/>
    <w:rsid w:val="00935C4B"/>
    <w:rsid w:val="00936DC9"/>
    <w:rsid w:val="00941AB2"/>
    <w:rsid w:val="00946DC9"/>
    <w:rsid w:val="00954956"/>
    <w:rsid w:val="00966B56"/>
    <w:rsid w:val="009723D7"/>
    <w:rsid w:val="00976DCA"/>
    <w:rsid w:val="0097772B"/>
    <w:rsid w:val="00981421"/>
    <w:rsid w:val="0098426C"/>
    <w:rsid w:val="009850D8"/>
    <w:rsid w:val="00985B42"/>
    <w:rsid w:val="00986353"/>
    <w:rsid w:val="009878C9"/>
    <w:rsid w:val="00991BB2"/>
    <w:rsid w:val="00997A85"/>
    <w:rsid w:val="009A0C77"/>
    <w:rsid w:val="009A1455"/>
    <w:rsid w:val="009C1752"/>
    <w:rsid w:val="009C379F"/>
    <w:rsid w:val="009C4FDB"/>
    <w:rsid w:val="009D48C5"/>
    <w:rsid w:val="009E00CA"/>
    <w:rsid w:val="009E5A7B"/>
    <w:rsid w:val="009E7ACF"/>
    <w:rsid w:val="009F05FD"/>
    <w:rsid w:val="009F149F"/>
    <w:rsid w:val="009F157A"/>
    <w:rsid w:val="009F3C80"/>
    <w:rsid w:val="009F3E19"/>
    <w:rsid w:val="009F4E97"/>
    <w:rsid w:val="009F5139"/>
    <w:rsid w:val="00A00A77"/>
    <w:rsid w:val="00A02A33"/>
    <w:rsid w:val="00A03841"/>
    <w:rsid w:val="00A0480B"/>
    <w:rsid w:val="00A07DA2"/>
    <w:rsid w:val="00A10114"/>
    <w:rsid w:val="00A15105"/>
    <w:rsid w:val="00A248ED"/>
    <w:rsid w:val="00A27D24"/>
    <w:rsid w:val="00A30812"/>
    <w:rsid w:val="00A524F9"/>
    <w:rsid w:val="00A543AE"/>
    <w:rsid w:val="00A54A15"/>
    <w:rsid w:val="00A61251"/>
    <w:rsid w:val="00A62A27"/>
    <w:rsid w:val="00A63163"/>
    <w:rsid w:val="00A706E5"/>
    <w:rsid w:val="00A70F4B"/>
    <w:rsid w:val="00A73828"/>
    <w:rsid w:val="00A740E4"/>
    <w:rsid w:val="00A77E57"/>
    <w:rsid w:val="00A838A4"/>
    <w:rsid w:val="00A85E61"/>
    <w:rsid w:val="00A90564"/>
    <w:rsid w:val="00A93843"/>
    <w:rsid w:val="00A97319"/>
    <w:rsid w:val="00AA1E59"/>
    <w:rsid w:val="00AA7A75"/>
    <w:rsid w:val="00AB4EA2"/>
    <w:rsid w:val="00AB4F5A"/>
    <w:rsid w:val="00AC4E3C"/>
    <w:rsid w:val="00AC5410"/>
    <w:rsid w:val="00AC635F"/>
    <w:rsid w:val="00AD291C"/>
    <w:rsid w:val="00AD477F"/>
    <w:rsid w:val="00AD5050"/>
    <w:rsid w:val="00AD682B"/>
    <w:rsid w:val="00AE50C7"/>
    <w:rsid w:val="00AE647C"/>
    <w:rsid w:val="00AE7107"/>
    <w:rsid w:val="00AE7F6A"/>
    <w:rsid w:val="00AF11A8"/>
    <w:rsid w:val="00AF28F8"/>
    <w:rsid w:val="00AF6CFB"/>
    <w:rsid w:val="00B00A07"/>
    <w:rsid w:val="00B023CC"/>
    <w:rsid w:val="00B03F66"/>
    <w:rsid w:val="00B10310"/>
    <w:rsid w:val="00B139AA"/>
    <w:rsid w:val="00B2190E"/>
    <w:rsid w:val="00B22539"/>
    <w:rsid w:val="00B255D7"/>
    <w:rsid w:val="00B272CA"/>
    <w:rsid w:val="00B30AF6"/>
    <w:rsid w:val="00B344F1"/>
    <w:rsid w:val="00B34781"/>
    <w:rsid w:val="00B37E6E"/>
    <w:rsid w:val="00B41C11"/>
    <w:rsid w:val="00B45870"/>
    <w:rsid w:val="00B4617A"/>
    <w:rsid w:val="00B46502"/>
    <w:rsid w:val="00B54539"/>
    <w:rsid w:val="00B5761F"/>
    <w:rsid w:val="00B7677F"/>
    <w:rsid w:val="00B80CF7"/>
    <w:rsid w:val="00B82369"/>
    <w:rsid w:val="00B85377"/>
    <w:rsid w:val="00B94D8E"/>
    <w:rsid w:val="00B96024"/>
    <w:rsid w:val="00B96309"/>
    <w:rsid w:val="00BA178D"/>
    <w:rsid w:val="00BA718F"/>
    <w:rsid w:val="00BB26BB"/>
    <w:rsid w:val="00BB40EE"/>
    <w:rsid w:val="00BB5200"/>
    <w:rsid w:val="00BC3910"/>
    <w:rsid w:val="00BC441C"/>
    <w:rsid w:val="00BC53FD"/>
    <w:rsid w:val="00BC5D3A"/>
    <w:rsid w:val="00BD5203"/>
    <w:rsid w:val="00BD6C83"/>
    <w:rsid w:val="00BD78BA"/>
    <w:rsid w:val="00BE3D84"/>
    <w:rsid w:val="00BE52CC"/>
    <w:rsid w:val="00BF2167"/>
    <w:rsid w:val="00BF4231"/>
    <w:rsid w:val="00BF6ADC"/>
    <w:rsid w:val="00C150DA"/>
    <w:rsid w:val="00C15B54"/>
    <w:rsid w:val="00C2219D"/>
    <w:rsid w:val="00C23C01"/>
    <w:rsid w:val="00C320CF"/>
    <w:rsid w:val="00C32408"/>
    <w:rsid w:val="00C32731"/>
    <w:rsid w:val="00C33709"/>
    <w:rsid w:val="00C46D49"/>
    <w:rsid w:val="00C50CD2"/>
    <w:rsid w:val="00C50DBC"/>
    <w:rsid w:val="00C5164A"/>
    <w:rsid w:val="00C52881"/>
    <w:rsid w:val="00C55DE7"/>
    <w:rsid w:val="00C6356B"/>
    <w:rsid w:val="00C64B75"/>
    <w:rsid w:val="00C718D9"/>
    <w:rsid w:val="00C8746A"/>
    <w:rsid w:val="00C91E3E"/>
    <w:rsid w:val="00C963BE"/>
    <w:rsid w:val="00C96A51"/>
    <w:rsid w:val="00CB1815"/>
    <w:rsid w:val="00CB495C"/>
    <w:rsid w:val="00CC080E"/>
    <w:rsid w:val="00CC37F9"/>
    <w:rsid w:val="00CC50CD"/>
    <w:rsid w:val="00CC54F4"/>
    <w:rsid w:val="00CC59F5"/>
    <w:rsid w:val="00CC6811"/>
    <w:rsid w:val="00CD6A09"/>
    <w:rsid w:val="00CD7563"/>
    <w:rsid w:val="00CE48C7"/>
    <w:rsid w:val="00CE6D95"/>
    <w:rsid w:val="00CE7196"/>
    <w:rsid w:val="00CF0434"/>
    <w:rsid w:val="00CF1511"/>
    <w:rsid w:val="00CF62CF"/>
    <w:rsid w:val="00D02460"/>
    <w:rsid w:val="00D02B4D"/>
    <w:rsid w:val="00D04405"/>
    <w:rsid w:val="00D10069"/>
    <w:rsid w:val="00D12A32"/>
    <w:rsid w:val="00D12E08"/>
    <w:rsid w:val="00D13F43"/>
    <w:rsid w:val="00D143E5"/>
    <w:rsid w:val="00D21692"/>
    <w:rsid w:val="00D21F1D"/>
    <w:rsid w:val="00D26CF6"/>
    <w:rsid w:val="00D33170"/>
    <w:rsid w:val="00D35529"/>
    <w:rsid w:val="00D3794D"/>
    <w:rsid w:val="00D45660"/>
    <w:rsid w:val="00D4788B"/>
    <w:rsid w:val="00D511F0"/>
    <w:rsid w:val="00D618B1"/>
    <w:rsid w:val="00D61D78"/>
    <w:rsid w:val="00D67420"/>
    <w:rsid w:val="00D679C0"/>
    <w:rsid w:val="00D71638"/>
    <w:rsid w:val="00D73F07"/>
    <w:rsid w:val="00D8269A"/>
    <w:rsid w:val="00D85421"/>
    <w:rsid w:val="00DA0842"/>
    <w:rsid w:val="00DA141E"/>
    <w:rsid w:val="00DA2323"/>
    <w:rsid w:val="00DA408D"/>
    <w:rsid w:val="00DA7C8D"/>
    <w:rsid w:val="00DB0C43"/>
    <w:rsid w:val="00DB38D1"/>
    <w:rsid w:val="00DC249E"/>
    <w:rsid w:val="00DC7C80"/>
    <w:rsid w:val="00DD045F"/>
    <w:rsid w:val="00DD46B6"/>
    <w:rsid w:val="00DE28AE"/>
    <w:rsid w:val="00DE37B5"/>
    <w:rsid w:val="00DE7401"/>
    <w:rsid w:val="00DF0373"/>
    <w:rsid w:val="00DF182E"/>
    <w:rsid w:val="00DF4878"/>
    <w:rsid w:val="00E0035E"/>
    <w:rsid w:val="00E078FF"/>
    <w:rsid w:val="00E11285"/>
    <w:rsid w:val="00E1737B"/>
    <w:rsid w:val="00E203B8"/>
    <w:rsid w:val="00E26C81"/>
    <w:rsid w:val="00E26E3F"/>
    <w:rsid w:val="00E41EFE"/>
    <w:rsid w:val="00E42563"/>
    <w:rsid w:val="00E4319A"/>
    <w:rsid w:val="00E440F5"/>
    <w:rsid w:val="00E4450A"/>
    <w:rsid w:val="00E45B0D"/>
    <w:rsid w:val="00E56AFE"/>
    <w:rsid w:val="00E57DA5"/>
    <w:rsid w:val="00E61C3F"/>
    <w:rsid w:val="00E63651"/>
    <w:rsid w:val="00E671F7"/>
    <w:rsid w:val="00E67655"/>
    <w:rsid w:val="00E70FCF"/>
    <w:rsid w:val="00E76321"/>
    <w:rsid w:val="00E76FFE"/>
    <w:rsid w:val="00E82BA5"/>
    <w:rsid w:val="00E8394F"/>
    <w:rsid w:val="00E83C5E"/>
    <w:rsid w:val="00E91476"/>
    <w:rsid w:val="00E91B66"/>
    <w:rsid w:val="00E9309D"/>
    <w:rsid w:val="00E9569D"/>
    <w:rsid w:val="00E959D8"/>
    <w:rsid w:val="00E96531"/>
    <w:rsid w:val="00E96FDF"/>
    <w:rsid w:val="00EA2015"/>
    <w:rsid w:val="00EA43F3"/>
    <w:rsid w:val="00EA4BB8"/>
    <w:rsid w:val="00EC45F6"/>
    <w:rsid w:val="00EC7D93"/>
    <w:rsid w:val="00ED18D1"/>
    <w:rsid w:val="00ED1CA8"/>
    <w:rsid w:val="00ED29AD"/>
    <w:rsid w:val="00ED3AA9"/>
    <w:rsid w:val="00ED3CF9"/>
    <w:rsid w:val="00ED79EC"/>
    <w:rsid w:val="00EE0337"/>
    <w:rsid w:val="00EF4EEB"/>
    <w:rsid w:val="00F02098"/>
    <w:rsid w:val="00F1164F"/>
    <w:rsid w:val="00F1320D"/>
    <w:rsid w:val="00F15598"/>
    <w:rsid w:val="00F26BC9"/>
    <w:rsid w:val="00F3519E"/>
    <w:rsid w:val="00F35E3F"/>
    <w:rsid w:val="00F4043C"/>
    <w:rsid w:val="00F4237F"/>
    <w:rsid w:val="00F45154"/>
    <w:rsid w:val="00F45C80"/>
    <w:rsid w:val="00F47CBC"/>
    <w:rsid w:val="00F635BE"/>
    <w:rsid w:val="00F64E3C"/>
    <w:rsid w:val="00F650A3"/>
    <w:rsid w:val="00F65DAD"/>
    <w:rsid w:val="00F66F90"/>
    <w:rsid w:val="00F726EA"/>
    <w:rsid w:val="00F77F01"/>
    <w:rsid w:val="00F81CC4"/>
    <w:rsid w:val="00F83EEA"/>
    <w:rsid w:val="00F85219"/>
    <w:rsid w:val="00F86EB5"/>
    <w:rsid w:val="00F9433D"/>
    <w:rsid w:val="00FA1EB3"/>
    <w:rsid w:val="00FB4261"/>
    <w:rsid w:val="00FC3706"/>
    <w:rsid w:val="00FD11C6"/>
    <w:rsid w:val="00FD1E84"/>
    <w:rsid w:val="00FD42BD"/>
    <w:rsid w:val="00FD61EB"/>
    <w:rsid w:val="00FE2B16"/>
    <w:rsid w:val="00FE52AF"/>
    <w:rsid w:val="00FE726B"/>
    <w:rsid w:val="00FF1825"/>
    <w:rsid w:val="00FF3CD3"/>
    <w:rsid w:val="00FF5598"/>
    <w:rsid w:val="00FF5FD9"/>
    <w:rsid w:val="103354F8"/>
    <w:rsid w:val="10C8C3E2"/>
    <w:rsid w:val="185DBA32"/>
    <w:rsid w:val="1BE4D5F1"/>
    <w:rsid w:val="1BEEE9CA"/>
    <w:rsid w:val="1D29A546"/>
    <w:rsid w:val="23037916"/>
    <w:rsid w:val="23C879FA"/>
    <w:rsid w:val="285FB620"/>
    <w:rsid w:val="30439BD6"/>
    <w:rsid w:val="3475705B"/>
    <w:rsid w:val="35366646"/>
    <w:rsid w:val="3A185CC8"/>
    <w:rsid w:val="41535BEB"/>
    <w:rsid w:val="42EF2C4C"/>
    <w:rsid w:val="44A1DC78"/>
    <w:rsid w:val="48E3AC60"/>
    <w:rsid w:val="4C73465C"/>
    <w:rsid w:val="4C78B850"/>
    <w:rsid w:val="52E56A1E"/>
    <w:rsid w:val="5431ADFA"/>
    <w:rsid w:val="55992BC4"/>
    <w:rsid w:val="564A594F"/>
    <w:rsid w:val="5BB7C2C1"/>
    <w:rsid w:val="5BFFC228"/>
    <w:rsid w:val="62175228"/>
    <w:rsid w:val="6960C1B7"/>
    <w:rsid w:val="70F53A4B"/>
    <w:rsid w:val="714D9301"/>
    <w:rsid w:val="75352EB7"/>
    <w:rsid w:val="761A0906"/>
    <w:rsid w:val="78D2E9A7"/>
    <w:rsid w:val="7B86D8C8"/>
    <w:rsid w:val="7D5143F7"/>
    <w:rsid w:val="7E1A0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765B1"/>
  <w15:chartTrackingRefBased/>
  <w15:docId w15:val="{64C8AAA1-D0A9-4CED-A7A8-835714379E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paragraph" w:styleId="Heading1">
    <w:name w:val="heading 1"/>
    <w:basedOn w:val="Normal"/>
    <w:link w:val="Heading1Char"/>
    <w:uiPriority w:val="9"/>
    <w:qFormat/>
    <w:rsid w:val="00924240"/>
    <w:pPr>
      <w:spacing w:before="100" w:beforeAutospacing="1" w:after="100" w:afterAutospacing="1"/>
      <w:outlineLvl w:val="0"/>
    </w:pPr>
    <w:rPr>
      <w:b/>
      <w:bCs/>
      <w:kern w:val="36"/>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semiHidden/>
    <w:rPr>
      <w:rFonts w:ascii="Arial" w:hAnsi="Arial" w:cs="Arial"/>
      <w:sz w:val="22"/>
    </w:rPr>
  </w:style>
  <w:style w:type="paragraph" w:styleId="BodyTextIndent">
    <w:name w:val="Body Text Indent"/>
    <w:basedOn w:val="Normal"/>
    <w:semiHidden/>
    <w:pPr>
      <w:ind w:left="2160" w:hanging="2160"/>
    </w:pPr>
    <w:rPr>
      <w:rFonts w:ascii="Arial" w:hAnsi="Arial" w:cs="Arial"/>
      <w:sz w:val="22"/>
    </w:rPr>
  </w:style>
  <w:style w:type="paragraph" w:styleId="BodyText3">
    <w:name w:val="Body Text 3"/>
    <w:basedOn w:val="Normal"/>
    <w:semiHidden/>
    <w:rPr>
      <w:b/>
      <w:bCs/>
    </w:rPr>
  </w:style>
  <w:style w:type="character" w:styleId="PageNumber">
    <w:name w:val="page number"/>
    <w:basedOn w:val="DefaultParagraphFont"/>
    <w:semiHidden/>
  </w:style>
  <w:style w:type="table" w:styleId="TableGrid">
    <w:name w:val="Table Grid"/>
    <w:basedOn w:val="TableNormal"/>
    <w:uiPriority w:val="39"/>
    <w:rsid w:val="00F81CC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45F70"/>
    <w:pPr>
      <w:spacing w:after="160" w:line="254" w:lineRule="auto"/>
      <w:ind w:left="720"/>
      <w:contextualSpacing/>
    </w:pPr>
    <w:rPr>
      <w:rFonts w:ascii="Calibri" w:hAnsi="Calibri" w:eastAsia="Calibri"/>
      <w:sz w:val="22"/>
      <w:szCs w:val="22"/>
    </w:rPr>
  </w:style>
  <w:style w:type="character" w:styleId="BodyTextChar" w:customStyle="1">
    <w:name w:val="Body Text Char"/>
    <w:link w:val="BodyText"/>
    <w:semiHidden/>
    <w:rsid w:val="00296EB4"/>
    <w:rPr>
      <w:rFonts w:ascii="Arial" w:hAnsi="Arial" w:cs="Arial"/>
      <w:sz w:val="22"/>
      <w:szCs w:val="24"/>
    </w:rPr>
  </w:style>
  <w:style w:type="table" w:styleId="TableGrid1" w:customStyle="1">
    <w:name w:val="Table Grid1"/>
    <w:basedOn w:val="TableNormal"/>
    <w:next w:val="TableGrid"/>
    <w:uiPriority w:val="39"/>
    <w:rsid w:val="007A321E"/>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0E029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E0298"/>
    <w:rPr>
      <w:rFonts w:ascii="Segoe UI" w:hAnsi="Segoe UI" w:cs="Segoe UI"/>
      <w:sz w:val="18"/>
      <w:szCs w:val="18"/>
    </w:rPr>
  </w:style>
  <w:style w:type="character" w:styleId="HeaderChar" w:customStyle="1">
    <w:name w:val="Header Char"/>
    <w:basedOn w:val="DefaultParagraphFont"/>
    <w:link w:val="Header"/>
    <w:uiPriority w:val="99"/>
    <w:rsid w:val="00776E9E"/>
    <w:rPr>
      <w:sz w:val="24"/>
      <w:szCs w:val="24"/>
    </w:rPr>
  </w:style>
  <w:style w:type="character" w:styleId="Heading1Char" w:customStyle="1">
    <w:name w:val="Heading 1 Char"/>
    <w:basedOn w:val="DefaultParagraphFont"/>
    <w:link w:val="Heading1"/>
    <w:uiPriority w:val="9"/>
    <w:rsid w:val="00924240"/>
    <w:rPr>
      <w:b/>
      <w:bCs/>
      <w:kern w:val="36"/>
      <w:sz w:val="48"/>
      <w:szCs w:val="48"/>
    </w:rPr>
  </w:style>
  <w:style w:type="paragraph" w:styleId="NormalWeb">
    <w:name w:val="Normal (Web)"/>
    <w:basedOn w:val="Normal"/>
    <w:uiPriority w:val="99"/>
    <w:semiHidden/>
    <w:rsid w:val="00417413"/>
    <w:pPr>
      <w:spacing w:before="100" w:beforeAutospacing="1" w:after="100" w:afterAutospacing="1"/>
    </w:pPr>
    <w:rPr>
      <w:rFonts w:ascii="Arial" w:hAnsi="Arial" w:eastAsia="Arial Unicode MS" w:cs="Arial"/>
    </w:rPr>
  </w:style>
  <w:style w:type="character" w:styleId="CommentReference">
    <w:name w:val="annotation reference"/>
    <w:uiPriority w:val="99"/>
    <w:semiHidden/>
    <w:unhideWhenUsed/>
    <w:rsid w:val="00417413"/>
    <w:rPr>
      <w:sz w:val="16"/>
      <w:szCs w:val="16"/>
    </w:rPr>
  </w:style>
  <w:style w:type="paragraph" w:styleId="CommentText">
    <w:name w:val="annotation text"/>
    <w:basedOn w:val="Normal"/>
    <w:link w:val="CommentTextChar"/>
    <w:uiPriority w:val="99"/>
    <w:unhideWhenUsed/>
    <w:rsid w:val="00417413"/>
    <w:rPr>
      <w:sz w:val="20"/>
      <w:szCs w:val="20"/>
    </w:rPr>
  </w:style>
  <w:style w:type="character" w:styleId="CommentTextChar" w:customStyle="1">
    <w:name w:val="Comment Text Char"/>
    <w:basedOn w:val="DefaultParagraphFont"/>
    <w:link w:val="CommentText"/>
    <w:uiPriority w:val="99"/>
    <w:rsid w:val="00417413"/>
  </w:style>
  <w:style w:type="character" w:styleId="Hyperlink">
    <w:name w:val="Hyperlink"/>
    <w:basedOn w:val="DefaultParagraphFont"/>
    <w:uiPriority w:val="99"/>
    <w:unhideWhenUsed/>
    <w:rsid w:val="00417413"/>
    <w:rPr>
      <w:color w:val="0563C1" w:themeColor="hyperlink"/>
      <w:u w:val="single"/>
    </w:rPr>
  </w:style>
  <w:style w:type="paragraph" w:styleId="BodyText2">
    <w:name w:val="Body Text 2"/>
    <w:basedOn w:val="Normal"/>
    <w:link w:val="BodyText2Char"/>
    <w:uiPriority w:val="99"/>
    <w:semiHidden/>
    <w:unhideWhenUsed/>
    <w:rsid w:val="00191648"/>
    <w:pPr>
      <w:spacing w:after="120" w:line="480" w:lineRule="auto"/>
    </w:pPr>
  </w:style>
  <w:style w:type="character" w:styleId="BodyText2Char" w:customStyle="1">
    <w:name w:val="Body Text 2 Char"/>
    <w:basedOn w:val="DefaultParagraphFont"/>
    <w:link w:val="BodyText2"/>
    <w:uiPriority w:val="99"/>
    <w:semiHidden/>
    <w:rsid w:val="00191648"/>
    <w:rPr>
      <w:sz w:val="24"/>
      <w:szCs w:val="24"/>
    </w:rPr>
  </w:style>
  <w:style w:type="paragraph" w:styleId="CommentSubject">
    <w:name w:val="annotation subject"/>
    <w:basedOn w:val="CommentText"/>
    <w:next w:val="CommentText"/>
    <w:link w:val="CommentSubjectChar"/>
    <w:uiPriority w:val="99"/>
    <w:semiHidden/>
    <w:unhideWhenUsed/>
    <w:rsid w:val="00406AFE"/>
    <w:rPr>
      <w:b/>
      <w:bCs/>
    </w:rPr>
  </w:style>
  <w:style w:type="character" w:styleId="CommentSubjectChar" w:customStyle="1">
    <w:name w:val="Comment Subject Char"/>
    <w:basedOn w:val="CommentTextChar"/>
    <w:link w:val="CommentSubject"/>
    <w:uiPriority w:val="99"/>
    <w:semiHidden/>
    <w:rsid w:val="00406AFE"/>
    <w:rPr>
      <w:b/>
      <w:bCs/>
    </w:rPr>
  </w:style>
  <w:style w:type="paragraph" w:styleId="Revision">
    <w:name w:val="Revision"/>
    <w:hidden/>
    <w:uiPriority w:val="99"/>
    <w:semiHidden/>
    <w:rsid w:val="003C2045"/>
    <w:rPr>
      <w:sz w:val="24"/>
      <w:szCs w:val="24"/>
    </w:rPr>
  </w:style>
  <w:style w:type="character" w:styleId="FootnoteReference">
    <w:name w:val="footnote reference"/>
    <w:basedOn w:val="DefaultParagraphFont"/>
    <w:uiPriority w:val="99"/>
    <w:semiHidden/>
    <w:unhideWhenUsed/>
    <w:rPr>
      <w:vertAlign w:val="superscript"/>
    </w:r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character" w:styleId="Mention">
    <w:name w:val="Mention"/>
    <w:basedOn w:val="DefaultParagraphFont"/>
    <w:uiPriority w:val="99"/>
    <w:unhideWhenUsed/>
    <w:rsid w:val="00690A7C"/>
    <w:rPr>
      <w:color w:val="2B579A"/>
      <w:shd w:val="clear" w:color="auto" w:fill="E1DFDD"/>
    </w:rPr>
  </w:style>
  <w:style w:type="character" w:styleId="UnresolvedMention">
    <w:name w:val="Unresolved Mention"/>
    <w:basedOn w:val="DefaultParagraphFont"/>
    <w:uiPriority w:val="99"/>
    <w:semiHidden/>
    <w:unhideWhenUsed/>
    <w:rsid w:val="00563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07134">
      <w:bodyDiv w:val="1"/>
      <w:marLeft w:val="0"/>
      <w:marRight w:val="0"/>
      <w:marTop w:val="0"/>
      <w:marBottom w:val="0"/>
      <w:divBdr>
        <w:top w:val="none" w:sz="0" w:space="0" w:color="auto"/>
        <w:left w:val="none" w:sz="0" w:space="0" w:color="auto"/>
        <w:bottom w:val="none" w:sz="0" w:space="0" w:color="auto"/>
        <w:right w:val="none" w:sz="0" w:space="0" w:color="auto"/>
      </w:divBdr>
    </w:div>
    <w:div w:id="696586986">
      <w:bodyDiv w:val="1"/>
      <w:marLeft w:val="0"/>
      <w:marRight w:val="0"/>
      <w:marTop w:val="0"/>
      <w:marBottom w:val="0"/>
      <w:divBdr>
        <w:top w:val="none" w:sz="0" w:space="0" w:color="auto"/>
        <w:left w:val="none" w:sz="0" w:space="0" w:color="auto"/>
        <w:bottom w:val="none" w:sz="0" w:space="0" w:color="auto"/>
        <w:right w:val="none" w:sz="0" w:space="0" w:color="auto"/>
      </w:divBdr>
    </w:div>
    <w:div w:id="969480019">
      <w:bodyDiv w:val="1"/>
      <w:marLeft w:val="0"/>
      <w:marRight w:val="0"/>
      <w:marTop w:val="0"/>
      <w:marBottom w:val="0"/>
      <w:divBdr>
        <w:top w:val="none" w:sz="0" w:space="0" w:color="auto"/>
        <w:left w:val="none" w:sz="0" w:space="0" w:color="auto"/>
        <w:bottom w:val="none" w:sz="0" w:space="0" w:color="auto"/>
        <w:right w:val="none" w:sz="0" w:space="0" w:color="auto"/>
      </w:divBdr>
    </w:div>
    <w:div w:id="1064837434">
      <w:bodyDiv w:val="1"/>
      <w:marLeft w:val="0"/>
      <w:marRight w:val="0"/>
      <w:marTop w:val="0"/>
      <w:marBottom w:val="0"/>
      <w:divBdr>
        <w:top w:val="none" w:sz="0" w:space="0" w:color="auto"/>
        <w:left w:val="none" w:sz="0" w:space="0" w:color="auto"/>
        <w:bottom w:val="none" w:sz="0" w:space="0" w:color="auto"/>
        <w:right w:val="none" w:sz="0" w:space="0" w:color="auto"/>
      </w:divBdr>
    </w:div>
    <w:div w:id="1199588591">
      <w:bodyDiv w:val="1"/>
      <w:marLeft w:val="0"/>
      <w:marRight w:val="0"/>
      <w:marTop w:val="0"/>
      <w:marBottom w:val="0"/>
      <w:divBdr>
        <w:top w:val="none" w:sz="0" w:space="0" w:color="auto"/>
        <w:left w:val="none" w:sz="0" w:space="0" w:color="auto"/>
        <w:bottom w:val="none" w:sz="0" w:space="0" w:color="auto"/>
        <w:right w:val="none" w:sz="0" w:space="0" w:color="auto"/>
      </w:divBdr>
    </w:div>
    <w:div w:id="1204363916">
      <w:bodyDiv w:val="1"/>
      <w:marLeft w:val="0"/>
      <w:marRight w:val="0"/>
      <w:marTop w:val="0"/>
      <w:marBottom w:val="0"/>
      <w:divBdr>
        <w:top w:val="none" w:sz="0" w:space="0" w:color="auto"/>
        <w:left w:val="none" w:sz="0" w:space="0" w:color="auto"/>
        <w:bottom w:val="none" w:sz="0" w:space="0" w:color="auto"/>
        <w:right w:val="none" w:sz="0" w:space="0" w:color="auto"/>
      </w:divBdr>
    </w:div>
    <w:div w:id="1607613344">
      <w:bodyDiv w:val="1"/>
      <w:marLeft w:val="0"/>
      <w:marRight w:val="0"/>
      <w:marTop w:val="0"/>
      <w:marBottom w:val="0"/>
      <w:divBdr>
        <w:top w:val="none" w:sz="0" w:space="0" w:color="auto"/>
        <w:left w:val="none" w:sz="0" w:space="0" w:color="auto"/>
        <w:bottom w:val="none" w:sz="0" w:space="0" w:color="auto"/>
        <w:right w:val="none" w:sz="0" w:space="0" w:color="auto"/>
      </w:divBdr>
    </w:div>
    <w:div w:id="1867522451">
      <w:bodyDiv w:val="1"/>
      <w:marLeft w:val="0"/>
      <w:marRight w:val="0"/>
      <w:marTop w:val="0"/>
      <w:marBottom w:val="0"/>
      <w:divBdr>
        <w:top w:val="none" w:sz="0" w:space="0" w:color="auto"/>
        <w:left w:val="none" w:sz="0" w:space="0" w:color="auto"/>
        <w:bottom w:val="none" w:sz="0" w:space="0" w:color="auto"/>
        <w:right w:val="none" w:sz="0" w:space="0" w:color="auto"/>
      </w:divBdr>
    </w:div>
    <w:div w:id="1942561900">
      <w:bodyDiv w:val="1"/>
      <w:marLeft w:val="0"/>
      <w:marRight w:val="0"/>
      <w:marTop w:val="0"/>
      <w:marBottom w:val="0"/>
      <w:divBdr>
        <w:top w:val="none" w:sz="0" w:space="0" w:color="auto"/>
        <w:left w:val="none" w:sz="0" w:space="0" w:color="auto"/>
        <w:bottom w:val="none" w:sz="0" w:space="0" w:color="auto"/>
        <w:right w:val="none" w:sz="0" w:space="0" w:color="auto"/>
      </w:divBdr>
      <w:divsChild>
        <w:div w:id="1316912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s://localenergycodes.com/content/adopted-ordinances" TargetMode="External"/><Relationship Id="rId3" Type="http://schemas.openxmlformats.org/officeDocument/2006/relationships/customXml" Target="../customXml/item3.xml"/><Relationship Id="rId21" Type="http://schemas.openxmlformats.org/officeDocument/2006/relationships/hyperlink" Target="https://localenergycodes.com/download/1552/file_path/fieldList/2022%20Multifamily%20NewCon%20Cost-Eff%20Report.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localenergycodes.com/download/1373/file_path/fieldList/2022%20Nonresidential%20New%20Construction%20Study%20Data.xls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am10.safelinks.protection.outlook.com/?url=https%3A%2F%2Flist.localenergycodes.com%2Fl%2FgGx763vqaLP3tL9JGsWBXRmA%2FLDYGOJDCSwVdLsm4DtkePA%2FycU21VC27w8Ho763Qv6w1XiQ&amp;data=05%7C01%7CFFarahmand%40trccompanies.com%7C0fc3cb47be13427bf6c908daa1732024%7C543eaf7b7e0d4076a34d1fc8cc20e5bb%7C0%7C0%7C637999813091728019%7CUnknown%7CTWFpbGZsb3d8eyJWIjoiMC4wLjAwMDAiLCJQIjoiV2luMzIiLCJBTiI6Ik1haWwiLCJXVCI6Mn0%3D%7C3000%7C%7C%7C&amp;sdata=v5l6Xi4Av6WIKR2NlL37md%2Btt3pv%2FMY2IAApg19%2FTcw%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omments" Target="comments.xml"/><Relationship Id="rId27" Type="http://schemas.openxmlformats.org/officeDocument/2006/relationships/hyperlink" Target="https://ww2.arb.ca.gov/resources/fact-sheets/governor-newsoms-zero-emission-2035-executive-order-n-79-20" TargetMode="Externa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6ceddf-2fcc-4b26-9101-bb88d78e22d8">
      <Terms xmlns="http://schemas.microsoft.com/office/infopath/2007/PartnerControls"/>
    </lcf76f155ced4ddcb4097134ff3c332f>
    <TaxCatchAll xmlns="111958bf-756b-4db7-bf72-a2b9201612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C612505A0F294DAD03E8668A5E5521" ma:contentTypeVersion="9" ma:contentTypeDescription="Create a new document." ma:contentTypeScope="" ma:versionID="3fec39619b16ab6041e8ffe1bd4cbc71">
  <xsd:schema xmlns:xsd="http://www.w3.org/2001/XMLSchema" xmlns:xs="http://www.w3.org/2001/XMLSchema" xmlns:p="http://schemas.microsoft.com/office/2006/metadata/properties" xmlns:ns2="596ceddf-2fcc-4b26-9101-bb88d78e22d8" xmlns:ns3="111958bf-756b-4db7-bf72-a2b9201612e2" targetNamespace="http://schemas.microsoft.com/office/2006/metadata/properties" ma:root="true" ma:fieldsID="2d483387b50cec693bd9905d2cbfd253" ns2:_="" ns3:_="">
    <xsd:import namespace="596ceddf-2fcc-4b26-9101-bb88d78e22d8"/>
    <xsd:import namespace="111958bf-756b-4db7-bf72-a2b9201612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ceddf-2fcc-4b26-9101-bb88d78e2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1958bf-756b-4db7-bf72-a2b9201612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1645933-db26-41c9-831d-cdad7966a925}" ma:internalName="TaxCatchAll" ma:showField="CatchAllData" ma:web="111958bf-756b-4db7-bf72-a2b9201612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3CA94-981D-4019-89B0-B9A9335D3CA2}">
  <ds:schemaRefs>
    <ds:schemaRef ds:uri="http://schemas.microsoft.com/sharepoint/v3/contenttype/forms"/>
  </ds:schemaRefs>
</ds:datastoreItem>
</file>

<file path=customXml/itemProps2.xml><?xml version="1.0" encoding="utf-8"?>
<ds:datastoreItem xmlns:ds="http://schemas.openxmlformats.org/officeDocument/2006/customXml" ds:itemID="{4218D655-C5EB-48BE-BC7C-33BA6A48BAE0}">
  <ds:schemaRefs>
    <ds:schemaRef ds:uri="http://schemas.microsoft.com/office/2006/metadata/properties"/>
    <ds:schemaRef ds:uri="http://schemas.microsoft.com/office/infopath/2007/PartnerControls"/>
    <ds:schemaRef ds:uri="596ceddf-2fcc-4b26-9101-bb88d78e22d8"/>
    <ds:schemaRef ds:uri="111958bf-756b-4db7-bf72-a2b9201612e2"/>
  </ds:schemaRefs>
</ds:datastoreItem>
</file>

<file path=customXml/itemProps3.xml><?xml version="1.0" encoding="utf-8"?>
<ds:datastoreItem xmlns:ds="http://schemas.openxmlformats.org/officeDocument/2006/customXml" ds:itemID="{9B81CF3A-AABF-4204-9EAA-35AD68D98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ceddf-2fcc-4b26-9101-bb88d78e22d8"/>
    <ds:schemaRef ds:uri="111958bf-756b-4db7-bf72-a2b920161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315F87-29B3-42E5-9C7B-74716523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2348</Words>
  <Characters>14862</Characters>
  <Application>Microsoft Office Word</Application>
  <DocSecurity>0</DocSecurity>
  <Lines>123</Lines>
  <Paragraphs>34</Paragraphs>
  <ScaleCrop>false</ScaleCrop>
  <Company>Dell Computer Corporation</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10/20/99</dc:title>
  <dc:subject/>
  <dc:creator>KCastle</dc:creator>
  <cp:keywords/>
  <dc:description/>
  <cp:lastModifiedBy>Vega, Mayra</cp:lastModifiedBy>
  <cp:revision>30</cp:revision>
  <cp:lastPrinted>2017-04-07T19:54:00Z</cp:lastPrinted>
  <dcterms:created xsi:type="dcterms:W3CDTF">2023-01-11T22:23:00Z</dcterms:created>
  <dcterms:modified xsi:type="dcterms:W3CDTF">2023-03-06T22:43:00Z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0x010100ABC612505A0F294DAD03E8668A5E5521</vt:lpwstr>
  </property>
  <property fmtid="{D5CDD505-2E9C-101B-9397-08002B2CF9AE}" pid="3" name="MSIP_Label_22fbb032-08bf-4f1e-af46-2528cd3f96ca_Enabled">
    <vt:lpwstr>true</vt:lpwstr>
  </property>
  <property fmtid="{D5CDD505-2E9C-101B-9397-08002B2CF9AE}" pid="4" name="MSIP_Label_22fbb032-08bf-4f1e-af46-2528cd3f96ca_SetDate">
    <vt:lpwstr>2022-03-02T15:49:13Z</vt:lpwstr>
  </property>
  <property fmtid="{D5CDD505-2E9C-101B-9397-08002B2CF9AE}" pid="5" name="MSIP_Label_22fbb032-08bf-4f1e-af46-2528cd3f96ca_Method">
    <vt:lpwstr>Privileged</vt:lpwstr>
  </property>
  <property fmtid="{D5CDD505-2E9C-101B-9397-08002B2CF9AE}" pid="6" name="MSIP_Label_22fbb032-08bf-4f1e-af46-2528cd3f96ca_Name">
    <vt:lpwstr>22fbb032-08bf-4f1e-af46-2528cd3f96ca</vt:lpwstr>
  </property>
  <property fmtid="{D5CDD505-2E9C-101B-9397-08002B2CF9AE}" pid="7" name="MSIP_Label_22fbb032-08bf-4f1e-af46-2528cd3f96ca_SiteId">
    <vt:lpwstr>adf10e2b-b6e9-41d6-be2f-c12bb566019c</vt:lpwstr>
  </property>
  <property fmtid="{D5CDD505-2E9C-101B-9397-08002B2CF9AE}" pid="8" name="MSIP_Label_22fbb032-08bf-4f1e-af46-2528cd3f96ca_ActionId">
    <vt:lpwstr>690bb9f9-87ee-4019-996f-4f33c91af758</vt:lpwstr>
  </property>
  <property fmtid="{D5CDD505-2E9C-101B-9397-08002B2CF9AE}" pid="9" name="MSIP_Label_22fbb032-08bf-4f1e-af46-2528cd3f96ca_ContentBits">
    <vt:lpwstr>0</vt:lpwstr>
  </property>
  <property fmtid="{D5CDD505-2E9C-101B-9397-08002B2CF9AE}" pid="10" name="MediaServiceImageTags">
    <vt:lpwstr/>
  </property>
</Properties>
</file>